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Indent"/>
        <w:spacing w:after="360"/>
        <w:rPr>
          <w:rStyle w:val="Default Paragraph Font.0"/>
          <w:b w:val="1"/>
          <w:bCs w:val="1"/>
          <w:color w:val="000000"/>
          <w:sz w:val="22"/>
          <w:szCs w:val="22"/>
        </w:rPr>
      </w:pPr>
      <w:r>
        <w:rPr>
          <w:rStyle w:val="Default Paragraph Font.0"/>
          <w:b w:val="1"/>
          <w:bCs w:val="1"/>
          <w:color w:val="000000"/>
          <w:sz w:val="22"/>
          <w:szCs w:val="22"/>
          <w:rtl w:val="0"/>
          <w:lang w:val="en-US"/>
        </w:rPr>
        <w:t>The Expanding Horizons of Corpus Analysis</w:t>
      </w:r>
    </w:p>
    <w:p>
      <w:pPr>
        <w:pStyle w:val="NoIndent"/>
        <w:spacing w:after="240"/>
        <w:rPr>
          <w:rStyle w:val="Default Paragraph Font.0"/>
          <w:i w:val="1"/>
          <w:iCs w:val="1"/>
        </w:rPr>
      </w:pPr>
      <w:r>
        <w:rPr>
          <w:rStyle w:val="Default Paragraph Font.0"/>
          <w:i w:val="1"/>
          <w:iCs w:val="1"/>
          <w:rtl w:val="0"/>
          <w:lang w:val="en-US"/>
        </w:rPr>
        <w:t>Brian MacWhinney</w:t>
      </w:r>
    </w:p>
    <w:p>
      <w:pPr>
        <w:pStyle w:val="NoIndent"/>
        <w:spacing w:after="200"/>
        <w:rPr>
          <w:rStyle w:val="Default Paragraph Font.0"/>
        </w:rPr>
      </w:pPr>
      <w:r>
        <w:rPr>
          <w:rStyle w:val="Default Paragraph Font.0"/>
          <w:rtl w:val="0"/>
          <w:lang w:val="en-US"/>
        </w:rPr>
        <w:t>Carnegie Mellon University, Pittsburgh, Pennsylvania</w:t>
      </w:r>
    </w:p>
    <w:p>
      <w:pPr>
        <w:pStyle w:val="NoIndent"/>
        <w:spacing w:after="160"/>
        <w:rPr>
          <w:rStyle w:val="Default Paragraph Font.0"/>
          <w:b w:val="1"/>
          <w:bCs w:val="1"/>
        </w:rPr>
      </w:pPr>
      <w:r>
        <w:rPr>
          <w:rStyle w:val="Default Paragraph Font.0"/>
          <w:b w:val="1"/>
          <w:bCs w:val="1"/>
          <w:rtl w:val="0"/>
          <w:lang w:val="en-US"/>
        </w:rPr>
        <w:t>Abstract</w:t>
      </w:r>
    </w:p>
    <w:p>
      <w:pPr>
        <w:pStyle w:val="NoIndent"/>
        <w:bidi w:val="0"/>
        <w:rPr>
          <w:rStyle w:val="Default Paragraph Font.0"/>
        </w:rPr>
      </w:pPr>
      <w:r>
        <w:rPr>
          <w:rStyle w:val="Default Paragraph Font.0"/>
          <w:rtl w:val="0"/>
        </w:rPr>
        <w:t xml:space="preserve">By including a focus on multimedia interactions linked to transcripts, corpus linguistics can vastly expand its horizons.  This expansion will rely on two continuing developments.  First, we need to develop easily used methods for each of the ten analytic methods we have examined, including lexical analyses, QDA, automatic tagging, language profiles, group comparisons, change scores, error analysis, feedback studies, </w:t>
      </w:r>
      <w:r>
        <w:rPr>
          <w:rtl w:val="0"/>
        </w:rPr>
        <w:t xml:space="preserve">conversation analysis, </w:t>
      </w:r>
      <w:r>
        <w:rPr>
          <w:rStyle w:val="Default Paragraph Font.0"/>
          <w:rtl w:val="0"/>
        </w:rPr>
        <w:t>and modeling. Second, we need to work together to construct a unified database for language studies and related sciences.  This database must be grounded on the principles of open access, data-sharing, interoperability, and integrated structure.  It must provide powerful tools for searching, multilinguality, and multimedia analysis. If we can build this infrastructure, we will be able to explore more deeply the key questions underlying the structure and functioning of language, as it emerges from the intermeshing of processes operative on eight major timeframes.</w:t>
      </w:r>
    </w:p>
    <w:p>
      <w:pPr>
        <w:pStyle w:val="NoIndent"/>
        <w:bidi w:val="0"/>
        <w:rPr>
          <w:rStyle w:val="Default Paragraph Font.0"/>
        </w:rPr>
      </w:pPr>
    </w:p>
    <w:p>
      <w:pPr>
        <w:pStyle w:val="Heading 1"/>
        <w:numPr>
          <w:ilvl w:val="0"/>
          <w:numId w:val="1"/>
        </w:numPr>
        <w:bidi w:val="0"/>
        <w:rPr>
          <w:sz w:val="20"/>
          <w:szCs w:val="20"/>
        </w:rPr>
      </w:pPr>
      <w:r>
        <w:rPr>
          <w:rStyle w:val="Default Paragraph Font.0"/>
          <w:rtl w:val="0"/>
        </w:rPr>
        <w:t xml:space="preserve">    </w:t>
      </w:r>
      <w:r>
        <w:rPr>
          <w:rtl w:val="0"/>
          <w:lang w:val="fr-FR"/>
        </w:rPr>
        <w:t>Introduction</w:t>
      </w:r>
    </w:p>
    <w:p>
      <w:pPr>
        <w:pStyle w:val="NoIndent"/>
        <w:bidi w:val="0"/>
        <w:rPr>
          <w:rStyle w:val="Default Paragraph Font.0"/>
        </w:rPr>
      </w:pPr>
      <w:r>
        <w:rPr>
          <w:rStyle w:val="Default Paragraph Font.0"/>
          <w:rtl w:val="0"/>
        </w:rPr>
        <w:t xml:space="preserve">Corpus linguistics has benefitted greatly from continuing advances in computer and Internet hardware and software. These advances have made it possible to develop facilities such as BNCweb (bncweb.lancs.ac.uk), LDC </w:t>
      </w:r>
      <w:r>
        <w:rPr>
          <w:rtl w:val="0"/>
        </w:rPr>
        <w:t>(Linguistic Data Consortium)</w:t>
      </w:r>
      <w:r>
        <w:rPr>
          <w:rStyle w:val="Default Paragraph Font.0"/>
          <w:rtl w:val="0"/>
        </w:rPr>
        <w:t xml:space="preserve"> online, the American National Corpus (americannationalcorpus.org), TalkBank (talkbank.org), and CHILDES (childes.psy.cmu.edu).  In earlier periods, these corpora were limited to written and transcribed materials.  However, most newer corpora now include transcripts linked to either audio or video recordings.  The development of this newer corpus methodology is facilitated by </w:t>
      </w:r>
      <w:r>
        <w:rPr>
          <w:rtl w:val="0"/>
        </w:rPr>
        <w:t xml:space="preserve">technology which makes it easy to produce high-quality video recordings of face-to-face interactions. Also, we now also common access to software that can link transcripts to the media at the level of the  utterance and sometimes the word.  These linked transcripts can then be accessed over the web, either through downloading or through browser plug-ins. </w:t>
      </w:r>
    </w:p>
    <w:p>
      <w:pPr>
        <w:pStyle w:val="Normal.0"/>
        <w:bidi w:val="0"/>
        <w:rPr>
          <w:rStyle w:val="Default Paragraph Font.0"/>
        </w:rPr>
      </w:pPr>
      <w:r>
        <w:rPr>
          <w:rStyle w:val="Default Paragraph Font.0"/>
          <w:rtl w:val="0"/>
        </w:rPr>
        <w:t>Among the various available resources, the collections at TalkBank and CHILDES are unique in providing users with completely open, online access to a large quantity of audio or video that has been linked to transcripts on the level of individual utterances.  Using these links, researchers can play back thousands of different conservational interactions, and study in detail their interactional and linguistic features.   These materials can then subjected to the analytic methods of corpus-based linguistics.  By applying both the traditional methods of corpus analysis and new methods specifically designed for multimedia data, we can achieve a rapid and powerful expansion of the horizons of corpus linguistics.</w:t>
      </w:r>
    </w:p>
    <w:p>
      <w:pPr>
        <w:pStyle w:val="Normal.0"/>
        <w:bidi w:val="0"/>
        <w:rPr>
          <w:rStyle w:val="Default Paragraph Font.0"/>
        </w:rPr>
      </w:pPr>
      <w:r>
        <w:rPr>
          <w:rStyle w:val="Default Paragraph Font.0"/>
          <w:rtl w:val="0"/>
        </w:rPr>
        <w:t xml:space="preserve"> In this paper, I will argue that this linkage of transcripts to media opens up a unique, new way of understanding human language.  My basic thesis is that language emerges through the interaction of forces that operate on several different time scales or timeframes.  These timeframes vary in their duration from milliseconds to millennia.  However, all of these forces must eventually reveal their functioning within the actual moment of communication.  Collections of transcripts linked to video provide us with a methodologically sound way of tracking and evaluating these interactions between timeframes across situations, speakers, and time.  In this way, the availability of transcripts linked to video can radically expand the horizons of corpus linguistics.  However, to realize these expanded horizons, researchers must commit themselves to the construction of a shared, interoperable database, similar to that currently available in TalkBank.  Here, I will explain how this database must be structured to best address the many research challenges we will face within this broadened scope of corpus linguistics.</w:t>
      </w:r>
    </w:p>
    <w:p>
      <w:pPr>
        <w:pStyle w:val="Heading 1"/>
        <w:numPr>
          <w:ilvl w:val="0"/>
          <w:numId w:val="1"/>
        </w:numPr>
        <w:bidi w:val="0"/>
        <w:rPr>
          <w:rStyle w:val="Default Paragraph Font.0"/>
          <w:sz w:val="20"/>
          <w:szCs w:val="20"/>
        </w:rPr>
      </w:pPr>
      <w:r>
        <w:rPr>
          <w:rStyle w:val="Default Paragraph Font.0"/>
          <w:rtl w:val="0"/>
          <w:lang w:val="en-US"/>
        </w:rPr>
        <w:t xml:space="preserve">    Timeframes Meshing in the Moment</w:t>
      </w:r>
    </w:p>
    <w:p>
      <w:pPr>
        <w:pStyle w:val="Normal.0"/>
        <w:bidi w:val="0"/>
      </w:pPr>
      <w:r>
        <w:rPr>
          <w:rStyle w:val="Default Paragraph Font.0"/>
          <w:rtl w:val="0"/>
        </w:rPr>
        <w:t xml:space="preserve">Let me begin by posing the core question facing linguistic analysis.  In his studies of sentence production, Osgood </w:t>
      </w:r>
      <w:r>
        <w:rPr/>
        <w:fldChar w:fldCharType="begin" w:fldLock="0"/>
      </w:r>
      <w:r>
        <w:instrText xml:space="preserve"> ADDIN EN.CITE &lt;EndNote&gt;&lt;Cite ExcludeAuth="1" &gt;&lt;Author&gt;C. E. Osgood&lt;/Author&gt;&lt;Year&gt;1971&lt;/Year&gt;&lt;RecNum&gt;3192&lt;/RecNum&gt;&lt;DisplayText&gt;(1971)&lt;/DisplayText&gt;&lt;record&gt;&lt;database name="allrefs.enl" path="/Files/EndNote/allrefs.enl"&gt;allrefs.enl&lt;/database&gt;&lt;source-app name="EndNote" version="14.0"&gt;EndNote&lt;/source-app&gt;&lt;rec-number&gt;3192&lt;/rec-number&gt;&lt;foreign-keys&gt;&lt;key app="EN" db-id="d90vsetwrpftsqew0f8pa5d3eepftezf5xpp"&gt;3192&lt;/key&gt;&lt;/foreign-keys&gt;&lt;ref-type name="Book Section"&gt;5&lt;/ref-type&gt;&lt;contributors&gt;&lt;authors&gt;&lt;author&gt;&lt;style face="normal" font="default" size="100%"&gt;C. E. Osgood&lt;/style&gt;&lt;/author&gt;&lt;/authors&gt;&lt;secondary-authors&gt;&lt;author&gt;&lt;style face="normal" font="default" size="100%"&gt;D. D. Steinberg&lt;/style&gt;&lt;/author&gt;&lt;author&gt;&lt;style face="normal" font="default" size="100%"&gt;L. A. Jakobovits&lt;/style&gt;&lt;/author&gt;&lt;/secondary-authors&gt;&lt;/contributors&gt;&lt;titles&gt;&lt;title&gt;&lt;style face="normal" font="default" size="100%"&gt;Where Do Sentences Come From?&lt;/style&gt;&lt;/title&gt;&lt;secondary-title&gt;&lt;style face="normal" font="default" size="100%"&gt;Semantics, and Interdisciplinary Reader in Philosophy, Linguistics, and Psychology&lt;/style&gt;&lt;/secondary-title&gt;&lt;/titles&gt;&lt;keywords&gt;&lt;keyword&gt;&lt;style face="normal" font="default" size="100%"&gt;adult sentence production&lt;/style&gt;&lt;/keyword&gt;&lt;/keywords&gt;&lt;dates&gt;&lt;year&gt;&lt;style face="normal" font="default" size="100%"&gt;1971&lt;/style&gt;&lt;/year&gt;&lt;/dates&gt;&lt;pub-location&gt;&lt;style face="normal" font="default" size="100%"&gt;Cambridge&lt;/style&gt;&lt;/pub-location&gt;&lt;publisher&gt;&lt;style face="normal" font="default" size="100%"&gt;University Press&lt;/style&gt;&lt;/publisher&gt;&lt;abstract&gt;&lt;style face="normal" font="default" size="100%"&gt;incollection&lt;/style&gt;&lt;/abstract&gt;&lt;urls/&gt;&lt;/record&gt;&lt;/Cite&gt;&lt;/EndNote&gt;</w:instrText>
      </w:r>
      <w:r>
        <w:rPr/>
        <w:fldChar w:fldCharType="separate" w:fldLock="0"/>
      </w:r>
      <w:r>
        <w:rPr>
          <w:rtl w:val="0"/>
        </w:rPr>
        <w:t>(1971)</w:t>
      </w:r>
      <w:r>
        <w:rPr/>
        <w:fldChar w:fldCharType="end" w:fldLock="0"/>
      </w:r>
      <w:r>
        <w:rPr>
          <w:rStyle w:val="Default Paragraph Font.0"/>
          <w:rtl w:val="0"/>
        </w:rPr>
        <w:t xml:space="preserve"> phrased the question as </w:t>
      </w:r>
      <w:r>
        <w:rPr>
          <w:rStyle w:val="Default Paragraph Font.0"/>
          <w:rtl w:val="0"/>
        </w:rPr>
        <w:t>“</w:t>
      </w:r>
      <w:r>
        <w:rPr>
          <w:rStyle w:val="Default Paragraph Font.0"/>
          <w:rtl w:val="0"/>
        </w:rPr>
        <w:t>Where do sentences come from?</w:t>
      </w:r>
      <w:r>
        <w:rPr>
          <w:rStyle w:val="Default Paragraph Font.0"/>
          <w:rtl w:val="0"/>
        </w:rPr>
        <w:t xml:space="preserve">” </w:t>
      </w:r>
      <w:r>
        <w:rPr>
          <w:rStyle w:val="Default Paragraph Font.0"/>
          <w:rtl w:val="0"/>
        </w:rPr>
        <w:t xml:space="preserve">In a similar vein, we can ask, </w:t>
      </w:r>
      <w:r>
        <w:rPr>
          <w:rStyle w:val="Default Paragraph Font.0"/>
          <w:rtl w:val="0"/>
        </w:rPr>
        <w:t>“</w:t>
      </w:r>
      <w:r>
        <w:rPr>
          <w:rStyle w:val="Default Paragraph Font.0"/>
          <w:rtl w:val="0"/>
        </w:rPr>
        <w:t>Where do linguistic forms and functions come from?</w:t>
      </w:r>
      <w:r>
        <w:rPr>
          <w:rStyle w:val="Default Paragraph Font.0"/>
          <w:rtl w:val="0"/>
        </w:rPr>
        <w:t xml:space="preserve">” </w:t>
      </w:r>
      <w:r>
        <w:rPr>
          <w:rStyle w:val="Default Paragraph Font.0"/>
          <w:rtl w:val="0"/>
        </w:rPr>
        <w:t>A full answer to this question would provide a detailed functionalist account of the shape of human language</w:t>
      </w:r>
      <w:r>
        <w:rPr>
          <w:rtl w:val="0"/>
          <w:lang w:val="de-DE"/>
        </w:rPr>
        <w:t xml:space="preserve">. </w:t>
      </w:r>
      <w:r>
        <w:rPr>
          <w:rStyle w:val="Default Paragraph Font.0"/>
          <w:rtl w:val="0"/>
        </w:rPr>
        <w:t xml:space="preserve">In this paper, I will suggest that functions and forms arise from the competing intersection of adaptive processes operating across interlocking timeframes. We can distinguish eight major levels of timeframes; each of these levels includes a variety of individual mechanisms whose timeframes also vary: </w:t>
      </w:r>
    </w:p>
    <w:p>
      <w:pPr>
        <w:pStyle w:val="Enumerate"/>
        <w:numPr>
          <w:ilvl w:val="0"/>
          <w:numId w:val="3"/>
        </w:numPr>
        <w:bidi w:val="0"/>
        <w:rPr>
          <w:lang w:val="en-US"/>
        </w:rPr>
      </w:pPr>
      <w:r>
        <w:rPr>
          <w:rtl w:val="0"/>
        </w:rPr>
        <w:t xml:space="preserve">Processing.  </w:t>
      </w:r>
      <w:r>
        <w:rPr>
          <w:rtl w:val="0"/>
          <w:lang w:val="en-US"/>
        </w:rPr>
        <w:t>This timeframe governs the online processing of words and sentences.</w:t>
      </w:r>
    </w:p>
    <w:p>
      <w:pPr>
        <w:pStyle w:val="Enumerate"/>
        <w:numPr>
          <w:ilvl w:val="0"/>
          <w:numId w:val="3"/>
        </w:numPr>
        <w:bidi w:val="0"/>
      </w:pPr>
      <w:r>
        <w:rPr>
          <w:rtl w:val="0"/>
        </w:rPr>
        <w:t xml:space="preserve">Turn-taking. </w:t>
      </w:r>
      <w:r>
        <w:rPr>
          <w:rStyle w:val="Default Paragraph Font.0"/>
          <w:rtl w:val="0"/>
          <w:lang w:val="en-US"/>
        </w:rPr>
        <w:t>This timeframe governs how we maintain, complete, extend, and yield conversational turns.</w:t>
      </w:r>
    </w:p>
    <w:p>
      <w:pPr>
        <w:pStyle w:val="Enumerate"/>
        <w:numPr>
          <w:ilvl w:val="0"/>
          <w:numId w:val="3"/>
        </w:numPr>
        <w:bidi w:val="0"/>
        <w:rPr>
          <w:sz w:val="20"/>
          <w:szCs w:val="20"/>
        </w:rPr>
      </w:pPr>
      <w:r>
        <w:rPr>
          <w:rStyle w:val="Default Paragraph Font.0"/>
          <w:rtl w:val="0"/>
          <w:lang w:val="en-US"/>
        </w:rPr>
        <w:t>Activity.</w:t>
      </w:r>
      <w:r>
        <w:rPr>
          <w:rtl w:val="0"/>
        </w:rPr>
        <w:t xml:space="preserve"> </w:t>
      </w:r>
      <w:r>
        <w:rPr>
          <w:rStyle w:val="Default Paragraph Font.0"/>
          <w:rtl w:val="0"/>
          <w:lang w:val="en-US"/>
        </w:rPr>
        <w:t xml:space="preserve"> This timeframe governs how we structure the overall goals of the current interaction</w:t>
      </w:r>
      <w:r>
        <w:rPr>
          <w:rtl w:val="0"/>
        </w:rPr>
        <w:t>.</w:t>
      </w:r>
    </w:p>
    <w:p>
      <w:pPr>
        <w:pStyle w:val="Enumerate"/>
        <w:numPr>
          <w:ilvl w:val="0"/>
          <w:numId w:val="3"/>
        </w:numPr>
        <w:bidi w:val="0"/>
        <w:rPr>
          <w:rStyle w:val="Default Paragraph Font.0"/>
          <w:sz w:val="20"/>
          <w:szCs w:val="20"/>
          <w:lang w:val="en-US"/>
        </w:rPr>
      </w:pPr>
      <w:r>
        <w:rPr>
          <w:rStyle w:val="Default Paragraph Font.0"/>
          <w:rtl w:val="0"/>
          <w:lang w:val="en-US"/>
        </w:rPr>
        <w:t>Developmental.</w:t>
      </w:r>
      <w:r>
        <w:rPr>
          <w:rtl w:val="0"/>
        </w:rPr>
        <w:t xml:space="preserve"> </w:t>
      </w:r>
      <w:r>
        <w:rPr>
          <w:rStyle w:val="Default Paragraph Font.0"/>
          <w:rtl w:val="0"/>
          <w:lang w:val="en-US"/>
        </w:rPr>
        <w:t xml:space="preserve">This is the timeframe governing language learning by the child and the adult second language learner. </w:t>
      </w:r>
    </w:p>
    <w:p>
      <w:pPr>
        <w:pStyle w:val="Enumerate"/>
        <w:numPr>
          <w:ilvl w:val="0"/>
          <w:numId w:val="3"/>
        </w:numPr>
        <w:bidi w:val="0"/>
        <w:rPr>
          <w:sz w:val="20"/>
          <w:szCs w:val="20"/>
        </w:rPr>
      </w:pPr>
      <w:r>
        <w:rPr>
          <w:rStyle w:val="Default Paragraph Font.0"/>
          <w:rtl w:val="0"/>
          <w:lang w:val="en-US"/>
        </w:rPr>
        <w:t>Social. This is the timeframe within which we track commitments to various social groups and processes across interactions.</w:t>
      </w:r>
    </w:p>
    <w:p>
      <w:pPr>
        <w:pStyle w:val="Enumerate"/>
        <w:numPr>
          <w:ilvl w:val="0"/>
          <w:numId w:val="3"/>
        </w:numPr>
        <w:bidi w:val="0"/>
        <w:rPr>
          <w:sz w:val="20"/>
          <w:szCs w:val="20"/>
        </w:rPr>
      </w:pPr>
      <w:r>
        <w:rPr>
          <w:rStyle w:val="Default Paragraph Font.0"/>
          <w:rtl w:val="0"/>
          <w:lang w:val="en-US"/>
        </w:rPr>
        <w:t>Epigenetic. This is the timeframe across which the genes interact to produce physical and neural structures supporting language.</w:t>
      </w:r>
    </w:p>
    <w:p>
      <w:pPr>
        <w:pStyle w:val="Enumerate"/>
        <w:numPr>
          <w:ilvl w:val="0"/>
          <w:numId w:val="3"/>
        </w:numPr>
        <w:bidi w:val="0"/>
        <w:rPr>
          <w:sz w:val="20"/>
          <w:szCs w:val="20"/>
        </w:rPr>
      </w:pPr>
      <w:r>
        <w:rPr>
          <w:rStyle w:val="Default Paragraph Font.0"/>
          <w:rtl w:val="0"/>
          <w:lang w:val="en-US"/>
        </w:rPr>
        <w:t>Diachronic.  This is the timeframe for socially shared changes in language forms and structures.</w:t>
      </w:r>
    </w:p>
    <w:p>
      <w:pPr>
        <w:pStyle w:val="Enumerate"/>
        <w:numPr>
          <w:ilvl w:val="0"/>
          <w:numId w:val="3"/>
        </w:numPr>
        <w:bidi w:val="0"/>
        <w:rPr>
          <w:rStyle w:val="Default Paragraph Font.0"/>
          <w:sz w:val="20"/>
          <w:szCs w:val="20"/>
          <w:lang w:val="en-US"/>
        </w:rPr>
      </w:pPr>
      <w:r>
        <w:rPr>
          <w:rStyle w:val="Default Paragraph Font.0"/>
          <w:rtl w:val="0"/>
          <w:lang w:val="en-US"/>
        </w:rPr>
        <w:t>Phylogenetic.  This is the timeframe that governs the ongoing evolution of the human language capacity.</w:t>
      </w:r>
    </w:p>
    <w:p>
      <w:pPr>
        <w:pStyle w:val="Enumerate"/>
      </w:pPr>
    </w:p>
    <w:p>
      <w:pPr>
        <w:pStyle w:val="Normal.0"/>
        <w:bidi w:val="0"/>
        <w:rPr>
          <w:rStyle w:val="Default Paragraph Font.0"/>
        </w:rPr>
      </w:pPr>
      <w:r>
        <w:rPr>
          <w:rStyle w:val="Default Paragraph Font.0"/>
          <w:rtl w:val="0"/>
        </w:rPr>
        <w:t>The shapes of specific linguistic markers are primarily determined by forces on levels 1-3, but are further modulated by the long-scale processes on timeframes 4-7.  All of these functions receive inputs from all timeframes.  For example, the choice between a noun, pronoun, or zero in subject position is conditioned by forces for the sharing of mental models operating on timeframes 1, 2, and 3.  These forces are constrained at the moment of speaking by grammatical and production processes within timeframe 1.  Across the timeframe of language development, the growth of control over pronominal marking arises within timeframe 4 and changes in accord with timeframe 5.  Finally, the underlying function of deixis and pointing has emerged in the species across timeframe 8 with ongoing support from all the other levels.</w:t>
      </w:r>
    </w:p>
    <w:p>
      <w:pPr>
        <w:pStyle w:val="Normal.0"/>
        <w:bidi w:val="0"/>
        <w:rPr>
          <w:rStyle w:val="Default Paragraph Font.0"/>
        </w:rPr>
      </w:pPr>
      <w:r>
        <w:rPr>
          <w:rStyle w:val="Default Paragraph Font.0"/>
          <w:rtl w:val="0"/>
        </w:rPr>
        <w:t xml:space="preserve">A key postulate of functionalism </w:t>
      </w:r>
      <w:r>
        <w:rPr/>
        <w:fldChar w:fldCharType="begin" w:fldLock="0"/>
      </w:r>
      <w:r>
        <w:instrText xml:space="preserve"> ADDIN EN.CITE &lt;EndNote&gt;&lt;Cite  &gt;&lt;Author&gt;Bates, E.&lt;/Author&gt;&lt;Year&gt;1989&lt;/Year&gt;&lt;RecNum&gt;231&lt;/RecNum&gt;&lt;DisplayText&gt;(Bates &amp; MacWhinney, 1989)&lt;/DisplayText&gt;&lt;record&gt;&lt;database name="allrefs.enl" path="/Files/EndNote/allrefs.enl"&gt;allrefs.enl&lt;/database&gt;&lt;source-app name="EndNote" version="14.0"&gt;EndNote&lt;/source-app&gt;&lt;rec-number&gt;231&lt;/rec-number&gt;&lt;foreign-keys&gt;&lt;key app="EN" db-id="d90vsetwrpftsqew0f8pa5d3eepftezf5xpp"&gt;231&lt;/key&gt;&lt;/foreign-keys&gt;&lt;ref-type name="Book Section"&gt;5&lt;/ref-type&gt;&lt;contributors&gt;&lt;authors&gt;&lt;author&gt;&lt;style face="normal" font="default" size="100%"&gt;Bates, E.&lt;/style&gt;&lt;/author&gt;&lt;author&gt;&lt;style face="normal" font="default" size="100%"&gt;MacWhinney, B.&lt;/style&gt;&lt;/author&gt;&lt;/authors&gt;&lt;secondary-authors&gt;&lt;author&gt;&lt;style face="normal" font="default" size="100%"&gt;MacWhinney, B.&lt;/style&gt;&lt;/author&gt;&lt;author&gt;&lt;style face="normal" font="default" size="100%"&gt;Bates, E.&lt;/style&gt;&lt;/author&gt;&lt;/secondary-authors&gt;&lt;/contributors&gt;&lt;titles&gt;&lt;title&gt;&lt;style face="normal" font="default" size="100%"&gt;Functionalism and the Competition Model&lt;/style&gt;&lt;/title&gt;&lt;secondary-title&gt;&lt;style face="normal" font="default" size="100%"&gt;The crosslinguistic study of sentence processing&lt;/style&gt;&lt;/secondary-title&gt;&lt;/titles&gt;&lt;pages&gt;&lt;style face="normal" font="default" size="100%"&gt;3-73&lt;/style&gt;&lt;/pages&gt;&lt;keywords&gt;&lt;keyword&gt;&lt;style face="normal" font="default" size="100%"&gt;competition model&lt;/style&gt;&lt;/keyword&gt;&lt;/keywords&gt;&lt;dates&gt;&lt;year&gt;&lt;style face="normal" font="default" size="100%"&gt;1989&lt;/style&gt;&lt;/year&gt;&lt;/dates&gt;&lt;pub-location&gt;&lt;style face="normal" font="default" size="100%"&gt;New York&lt;/style&gt;&lt;/pub-location&gt;&lt;publisher&gt;&lt;style face="normal" font="default" size="100%"&gt;Cambridge University Press&lt;/style&gt;&lt;/publisher&gt;&lt;urls/&gt;&lt;/record&gt;&lt;/Cite&gt;&lt;/EndNote&gt;</w:instrText>
      </w:r>
      <w:r>
        <w:rPr/>
        <w:fldChar w:fldCharType="separate" w:fldLock="0"/>
      </w:r>
      <w:r>
        <w:rPr>
          <w:rtl w:val="0"/>
        </w:rPr>
        <w:t>(Bates &amp; MacWhinney, 1989)</w:t>
      </w:r>
      <w:r>
        <w:rPr/>
        <w:fldChar w:fldCharType="end" w:fldLock="0"/>
      </w:r>
      <w:r>
        <w:rPr>
          <w:rStyle w:val="Default Paragraph Font.0"/>
          <w:rtl w:val="0"/>
        </w:rPr>
        <w:t xml:space="preserve"> is that functions compete for mapping to forms.  In the timeframe model, the outcome of the competition is determined by inputs from clocks running at each time scale. The brain provides support for this type of learning by using circuits with widely divergent timescale properties operating between the basal ganglia, hippocampus, and the cortex. Even in organisms as simple as the bee, we can find discrete neurochemical processes that work to consolidate memories on each of the time scales relevant to the pollen-gathering activities of the bee </w:t>
      </w:r>
      <w:r>
        <w:rPr/>
        <w:fldChar w:fldCharType="begin" w:fldLock="0"/>
      </w:r>
      <w:r>
        <w:instrText xml:space="preserve"> ADDIN EN.CITE &lt;EndNote&gt;&lt;Cite  &gt;&lt;Author&gt;Menzel, R.&lt;/Author&gt;&lt;Year&gt;2001&lt;/Year&gt;&lt;RecNum&gt;9730&lt;/RecNum&gt;&lt;DisplayText&gt;(Menzel &amp; Giurfa, 2001)&lt;/DisplayText&gt;&lt;record&gt;&lt;database name="allrefs.enl" path="/Files/EndNote/allrefs.enl"&gt;allrefs.enl&lt;/database&gt;&lt;source-app name="EndNote" version="14.0"&gt;EndNote&lt;/source-app&gt;&lt;rec-number&gt;9730&lt;/rec-number&gt;&lt;foreign-keys&gt;&lt;key app="EN" db-id="d90vsetwrpftsqew0f8pa5d3eepftezf5xpp"&gt;9730&lt;/key&gt;&lt;/foreign-keys&gt;&lt;ref-type name="Journal Article"&gt;17&lt;/ref-type&gt;&lt;contributors&gt;&lt;authors&gt;&lt;author&gt;&lt;style face="normal" font="default" size="100%"&gt;Menzel, R.&lt;/style&gt;&lt;/author&gt;&lt;author&gt;&lt;style face="normal" font="default" size="100%"&gt;Giurfa, M.&lt;/style&gt;&lt;/author&gt;&lt;/authors&gt;&lt;/contributors&gt;&lt;titles&gt;&lt;title&gt;&lt;style face="normal" font="default" size="100%"&gt;Cognitive architecture of a mini-brain: the honeybee&lt;/style&gt;&lt;/title&gt;&lt;secondary-title&gt;&lt;style face="normal" font="default" size="100%"&gt;Trends in Cognitive Sciences&lt;/style&gt;&lt;/secondary-title&gt;&lt;/titles&gt;&lt;periodical&gt;&lt;full-title&gt;&lt;style face="normal" font="default" size="100%"&gt;Trends in Cognitive Sciences&lt;/style&gt;&lt;/full-title&gt;&lt;/periodical&gt;&lt;pages&gt;&lt;style face="normal" font="default" size="100%"&gt;62-71&lt;/style&gt;&lt;/pages&gt;&lt;volume&gt;&lt;style face="normal" font="default" size="100%"&gt;5&lt;/style&gt;&lt;/volume&gt;&lt;dates&gt;&lt;year&gt;&lt;style face="normal" font="default" size="100%"&gt;2001&lt;/style&gt;&lt;/year&gt;&lt;/dates&gt;&lt;urls/&gt;&lt;/record&gt;&lt;/Cite&gt;&lt;/EndNote&gt;</w:instrText>
      </w:r>
      <w:r>
        <w:rPr/>
        <w:fldChar w:fldCharType="separate" w:fldLock="0"/>
      </w:r>
      <w:r>
        <w:rPr>
          <w:rtl w:val="0"/>
        </w:rPr>
        <w:t>(Menzel &amp; Giurfa, 2001)</w:t>
      </w:r>
      <w:r>
        <w:rPr/>
        <w:fldChar w:fldCharType="end" w:fldLock="0"/>
      </w:r>
      <w:r>
        <w:rPr>
          <w:rStyle w:val="Default Paragraph Font.0"/>
          <w:rtl w:val="0"/>
        </w:rPr>
        <w:t xml:space="preserve">. </w:t>
      </w:r>
    </w:p>
    <w:p>
      <w:pPr>
        <w:pStyle w:val="Normal.0"/>
        <w:bidi w:val="0"/>
        <w:rPr>
          <w:rStyle w:val="Default Paragraph Font.0"/>
        </w:rPr>
      </w:pPr>
      <w:r>
        <w:rPr>
          <w:rStyle w:val="Default Paragraph Font.0"/>
          <w:rtl w:val="0"/>
        </w:rPr>
        <w:t>For the purposes of illustration, one can compare the timeframes involved in control of language with those used in mechanical calendars.  An  example from ancient Greece is the Antikythera, a device discovered in 1901 inside a shipwreck in the Aegean.  The device uses a set of interlocking gears or wheels to compute times according to the 365-day Sothic year, the 12-month zodiac, the solar year, the lunar phase, the phases between solar eclipses, the 19-year Metonic cycle, and the 76-year Callippic cycle.  In addition, it marks the positions of the planets and the times of specific Panhellenic games.  Figure 1 provides a glimpse into the shape of this remarkable mechanism.  Another example of a clock that meshes across multiple time scales is the Orloj from Prague, which is shown in Figure 2.</w:t>
      </w: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rPr>
          <w:rStyle w:val="Default Paragraph Font.0"/>
        </w:rPr>
      </w:pP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rPr>
          <w:rStyle w:val="Default Paragraph Font.0"/>
        </w:rPr>
      </w:pP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rPr>
          <w:rStyle w:val="Default Paragraph Font.0"/>
        </w:rPr>
      </w:pP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jc w:val="center"/>
        <w:rPr>
          <w:rStyle w:val="Default Paragraph Font.0"/>
        </w:rPr>
      </w:pPr>
      <w:r>
        <w:rPr>
          <w:rStyle w:val="Default Paragraph Font.0"/>
        </w:rPr>
        <w:drawing>
          <wp:inline distT="0" distB="0" distL="0" distR="0">
            <wp:extent cx="1181101" cy="273050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0"/>
                    </pic:cNvPicPr>
                  </pic:nvPicPr>
                  <pic:blipFill>
                    <a:blip r:embed="rId4">
                      <a:extLst/>
                    </a:blip>
                    <a:stretch>
                      <a:fillRect/>
                    </a:stretch>
                  </pic:blipFill>
                  <pic:spPr>
                    <a:xfrm>
                      <a:off x="0" y="0"/>
                      <a:ext cx="1181101" cy="2730501"/>
                    </a:xfrm>
                    <a:prstGeom prst="rect">
                      <a:avLst/>
                    </a:prstGeom>
                    <a:ln w="9525" cap="flat">
                      <a:noFill/>
                      <a:round/>
                    </a:ln>
                    <a:effectLst/>
                  </pic:spPr>
                </pic:pic>
              </a:graphicData>
            </a:graphic>
          </wp:inline>
        </w:drawing>
      </w:r>
      <w:r>
        <w:rPr>
          <w:rStyle w:val="Default Paragraph Font.0"/>
          <w:rtl w:val="0"/>
          <w:lang w:val="en-US"/>
        </w:rPr>
        <w:t xml:space="preserve">                   </w:t>
      </w:r>
      <w:r>
        <w:rPr>
          <w:rStyle w:val="Default Paragraph Font.0"/>
        </w:rPr>
        <w:drawing>
          <wp:inline distT="0" distB="0" distL="0" distR="0">
            <wp:extent cx="1943100" cy="24384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0"/>
                    </pic:cNvPicPr>
                  </pic:nvPicPr>
                  <pic:blipFill>
                    <a:blip r:embed="rId5">
                      <a:extLst/>
                    </a:blip>
                    <a:stretch>
                      <a:fillRect/>
                    </a:stretch>
                  </pic:blipFill>
                  <pic:spPr>
                    <a:xfrm>
                      <a:off x="0" y="0"/>
                      <a:ext cx="1943100" cy="2438400"/>
                    </a:xfrm>
                    <a:prstGeom prst="rect">
                      <a:avLst/>
                    </a:prstGeom>
                    <a:ln w="9525" cap="flat">
                      <a:noFill/>
                      <a:round/>
                    </a:ln>
                    <a:effectLst/>
                  </pic:spPr>
                </pic:pic>
              </a:graphicData>
            </a:graphic>
          </wp:inline>
        </w:drawing>
      </w: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jc w:val="center"/>
        <w:rPr>
          <w:rStyle w:val="Default Paragraph Font.0"/>
        </w:rPr>
      </w:pPr>
      <w:r>
        <w:rPr>
          <w:rStyle w:val="Default Paragraph Font.0"/>
          <w:rtl w:val="0"/>
          <w:lang w:val="en-US"/>
        </w:rPr>
        <w:t>Figure 1: The antikythera: a reconstruction and a sketch of the gears</w:t>
      </w: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rPr>
          <w:rStyle w:val="Default Paragraph Font.0"/>
        </w:rPr>
      </w:pP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rPr>
          <w:rStyle w:val="Default Paragraph Font.0"/>
        </w:rPr>
      </w:pPr>
      <w:r>
        <w:rPr>
          <w:rStyle w:val="Default Paragraph Font.0"/>
          <w:rtl w:val="0"/>
          <w:lang w:val="en-US"/>
        </w:rPr>
        <w:t>The meshing of the wheels of these mechanical calendars provides an analogy to the meshing of the processes operating across the eight timescales determining human communication.   The notion of process meshing can also be illustrated through biological systems.  For example, metabolic processes in the body link up across a variety of time scales, some tightly linked to the catalytic processes in the Krebs cycle that convert ATP into energy, others involved in the creation of ATP, and still others involved in the overall regulation of the body</w:t>
      </w:r>
      <w:r>
        <w:rPr>
          <w:rStyle w:val="Default Paragraph Font.0"/>
          <w:rtl w:val="0"/>
          <w:lang w:val="en-US"/>
        </w:rPr>
        <w:t>’</w:t>
      </w:r>
      <w:r>
        <w:rPr>
          <w:rStyle w:val="Default Paragraph Font.0"/>
          <w:rtl w:val="0"/>
          <w:lang w:val="en-US"/>
        </w:rPr>
        <w:t>s heat and energy levels.  Even more complex and longer-term regulatory processes govern learning in the brain and its regulation by hormonal system and exposure to inputs from the environment.</w:t>
      </w:r>
    </w:p>
    <w:p>
      <w:pPr>
        <w:pStyle w:val="Normal.0"/>
        <w:bidi w:val="0"/>
        <w:rPr>
          <w:rStyle w:val="Default Paragraph Font.0"/>
        </w:rPr>
      </w:pPr>
      <w:r>
        <w:rPr>
          <w:rStyle w:val="Default Paragraph Font.0"/>
          <w:rtl w:val="0"/>
        </w:rPr>
        <w:t xml:space="preserve">Let us now take a closer look at the shapes of these eight timeframes with attention to how they affect particular linguistic structures or processes.  Within each of these timeframes, when we look at specific examples, we will see that there is variation in the actual clocks involved.  This is why it is important to use the term </w:t>
      </w:r>
      <w:r>
        <w:rPr>
          <w:rStyle w:val="Default Paragraph Font.0"/>
          <w:rtl w:val="0"/>
        </w:rPr>
        <w:t>“</w:t>
      </w:r>
      <w:r>
        <w:rPr>
          <w:rStyle w:val="Default Paragraph Font.0"/>
          <w:rtl w:val="0"/>
        </w:rPr>
        <w:t>timeframe</w:t>
      </w:r>
      <w:r>
        <w:rPr>
          <w:rStyle w:val="Default Paragraph Font.0"/>
          <w:rtl w:val="0"/>
        </w:rPr>
        <w:t xml:space="preserve">” </w:t>
      </w:r>
      <w:r>
        <w:rPr>
          <w:rStyle w:val="Default Paragraph Font.0"/>
          <w:rtl w:val="0"/>
        </w:rPr>
        <w:t>to discuss a general class of processes that operate with similar, but not identical, clocks.</w:t>
      </w: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rPr>
          <w:rStyle w:val="Default Paragraph Font.0"/>
        </w:rPr>
      </w:pP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jc w:val="center"/>
        <w:rPr>
          <w:rStyle w:val="Default Paragraph Font.0"/>
        </w:rPr>
      </w:pPr>
      <w:r>
        <w:rPr>
          <w:rStyle w:val="Default Paragraph Font.0"/>
        </w:rPr>
        <w:drawing>
          <wp:inline distT="0" distB="0" distL="0" distR="0">
            <wp:extent cx="3225800" cy="32639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0"/>
                    </pic:cNvPicPr>
                  </pic:nvPicPr>
                  <pic:blipFill>
                    <a:blip r:embed="rId6">
                      <a:extLst/>
                    </a:blip>
                    <a:stretch>
                      <a:fillRect/>
                    </a:stretch>
                  </pic:blipFill>
                  <pic:spPr>
                    <a:xfrm>
                      <a:off x="0" y="0"/>
                      <a:ext cx="3225800" cy="3263900"/>
                    </a:xfrm>
                    <a:prstGeom prst="rect">
                      <a:avLst/>
                    </a:prstGeom>
                    <a:ln w="9525" cap="flat">
                      <a:noFill/>
                      <a:round/>
                    </a:ln>
                    <a:effectLst/>
                  </pic:spPr>
                </pic:pic>
              </a:graphicData>
            </a:graphic>
          </wp:inline>
        </w:drawing>
      </w: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jc w:val="left"/>
        <w:rPr>
          <w:rStyle w:val="Default Paragraph Font.0"/>
        </w:rPr>
      </w:pP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jc w:val="center"/>
        <w:rPr>
          <w:rStyle w:val="Default Paragraph Font.0"/>
        </w:rPr>
      </w:pPr>
      <w:r>
        <w:rPr>
          <w:rStyle w:val="Default Paragraph Font.0"/>
          <w:rtl w:val="0"/>
          <w:lang w:val="en-US"/>
        </w:rPr>
        <w:t>Figure 2: The Orloj clock of Prague</w:t>
      </w: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rPr>
          <w:rStyle w:val="Default Paragraph Font.0"/>
        </w:rPr>
      </w:pP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rPr>
          <w:rStyle w:val="Default Paragraph Font.0"/>
        </w:rPr>
      </w:pPr>
    </w:p>
    <w:p>
      <w:pPr>
        <w:pStyle w:val="Normal.0"/>
        <w:bidi w:val="0"/>
      </w:pPr>
      <w:r>
        <w:rPr>
          <w:rStyle w:val="Default Paragraph Font.0"/>
          <w:b w:val="1"/>
          <w:bCs w:val="1"/>
          <w:rtl w:val="0"/>
          <w:lang w:val="en-US"/>
        </w:rPr>
        <w:t>The processing</w:t>
      </w:r>
      <w:r>
        <w:rPr>
          <w:rStyle w:val="Default Paragraph Font.0"/>
          <w:rtl w:val="0"/>
        </w:rPr>
        <w:t xml:space="preserve"> </w:t>
      </w:r>
      <w:r>
        <w:rPr>
          <w:rStyle w:val="Default Paragraph Font.0"/>
          <w:b w:val="1"/>
          <w:bCs w:val="1"/>
          <w:rtl w:val="0"/>
          <w:lang w:val="en-US"/>
        </w:rPr>
        <w:t>timeframe</w:t>
      </w:r>
      <w:r>
        <w:rPr>
          <w:rStyle w:val="Default Paragraph Font.0"/>
          <w:rtl w:val="0"/>
        </w:rPr>
        <w:t xml:space="preserve">.  The most fast acting pressures on language form are those that derive from online processing constraints </w:t>
      </w:r>
      <w:r>
        <w:rPr/>
        <w:fldChar w:fldCharType="begin" w:fldLock="0"/>
      </w:r>
      <w:r>
        <w:instrText xml:space="preserve"> ADDIN EN.CITE &lt;EndNote&gt;&lt;Cite  &gt;&lt;Author&gt;MacWhinney, B.&lt;/Author&gt;&lt;Year&gt;2009&lt;/Year&gt;&lt;RecNum&gt;10889&lt;/RecNum&gt;&lt;DisplayText&gt;(MacWhinney, 2009)&lt;/DisplayText&gt;&lt;record&gt;&lt;database name="allrefs.enl" path="/Files/EndNote/allrefs.enl"&gt;allrefs.enl&lt;/database&gt;&lt;source-app name="EndNote" version="14.0"&gt;EndNote&lt;/source-app&gt;&lt;rec-number&gt;10889&lt;/rec-number&gt;&lt;foreign-keys&gt;&lt;key app="EN" db-id="d90vsetwrpftsqew0f8pa5d3eepftezf5xpp"&gt;10889&lt;/key&gt;&lt;/foreign-keys&gt;&lt;ref-type name="Book Section"&gt;5&lt;/ref-type&gt;&lt;contributors&gt;&lt;authors&gt;&lt;author&gt;&lt;style face="normal" font="default" size="100%"&gt;MacWhinney, B.&lt;/style&gt;&lt;/author&gt;&lt;/authors&gt;&lt;secondary-authors&gt;&lt;author&gt;&lt;style face="normal" font="default" size="100%"&gt;Givon, T.&lt;/style&gt;&lt;/author&gt;&lt;/secondary-authors&gt;&lt;/contributors&gt;&lt;titles&gt;&lt;title&gt;&lt;style face="normal" font="default" size="100%"&gt;The emergence of linguistic complexity&lt;/style&gt;&lt;/title&gt;&lt;secondary-title&gt;&lt;style face="normal" font="default" size="100%"&gt;Linguistic complexity&lt;/style&gt;&lt;/secondary-title&gt;&lt;/titles&gt;&lt;pages&gt;&lt;style face="normal" font="default" size="100%"&gt;405-432&lt;/style&gt;&lt;/pages&gt;&lt;dates&gt;&lt;year&gt;&lt;style face="normal" font="default" size="100%"&gt;2009&lt;/style&gt;&lt;/year&gt;&lt;/dates&gt;&lt;pub-location&gt;&lt;style face="normal" font="default" size="100%"&gt;New York&lt;/style&gt;&lt;/pub-location&gt;&lt;publisher&gt;&lt;style face="normal" font="default" size="100%"&gt;Benjamins&lt;/style&gt;&lt;/publisher&gt;&lt;urls/&gt;&lt;/record&gt;&lt;/Cite&gt;&lt;/EndNote&gt;</w:instrText>
      </w:r>
      <w:r>
        <w:rPr/>
        <w:fldChar w:fldCharType="separate" w:fldLock="0"/>
      </w:r>
      <w:r>
        <w:rPr>
          <w:rtl w:val="0"/>
        </w:rPr>
        <w:t>(MacWhinney, 2009)</w:t>
      </w:r>
      <w:r>
        <w:rPr/>
        <w:fldChar w:fldCharType="end" w:fldLock="0"/>
      </w:r>
      <w:r>
        <w:rPr>
          <w:rStyle w:val="Default Paragraph Font.0"/>
          <w:rtl w:val="0"/>
        </w:rPr>
        <w:t xml:space="preserve">. These pressures arise from the limitations of memory mechanisms, attentional focusing, coordination of sentence planning, code switching between languages, and motor control. </w:t>
      </w:r>
      <w:r>
        <w:rPr>
          <w:rtl w:val="0"/>
        </w:rPr>
        <w:t xml:space="preserve">These various processing timeframes all rest on top of the basic time required for the firing of a single neuron  and transmission of that signal to the next neuron.  Although this depends heavily on many factors, a value of 10 msec is a good approximation for many connections.  The brevity of this period allows for the firing of as many as 20 neural connections during the 150 ms period required for production of a single syllable </w:t>
      </w:r>
      <w:r>
        <w:rPr/>
        <w:fldChar w:fldCharType="begin" w:fldLock="0"/>
      </w:r>
      <w:r>
        <w:instrText xml:space="preserve"> ADDIN EN.CITE &lt;EndNote&gt;&lt;Cite  &gt;&lt;Author&gt;Massaro, D.&lt;/Author&gt;&lt;Year&gt;1987&lt;/Year&gt;&lt;RecNum&gt;2815&lt;/RecNum&gt;&lt;DisplayText&gt;(Massaro, 1987)&lt;/DisplayText&gt;&lt;record&gt;&lt;database name="allrefs.enl" path="/Files/EndNote/allrefs.enl"&gt;allrefs.enl&lt;/database&gt;&lt;source-app name="EndNote" version="14.0"&gt;EndNote&lt;/source-app&gt;&lt;rec-number&gt;2815&lt;/rec-number&gt;&lt;foreign-keys&gt;&lt;key app="EN" db-id="d90vsetwrpftsqew0f8pa5d3eepftezf5xpp"&gt;2815&lt;/key&gt;&lt;/foreign-keys&gt;&lt;ref-type name="Book"&gt;6&lt;/ref-type&gt;&lt;contributors&gt;&lt;authors&gt;&lt;author&gt;&lt;style face="normal" font="default" size="100%"&gt;Massaro, D.&lt;/style&gt;&lt;/author&gt;&lt;/authors&gt;&lt;/contributors&gt;&lt;titles&gt;&lt;title&gt;&lt;style face="normal" font="default" size="100%"&gt;Speech perception by ear and eye&lt;/style&gt;&lt;/title&gt;&lt;/titles&gt;&lt;dates&gt;&lt;year&gt;&lt;style face="normal" font="default" size="100%"&gt;1987&lt;/style&gt;&lt;/year&gt;&lt;/dates&gt;&lt;pub-location&gt;&lt;style face="normal" font="default" size="100%"&gt;Hillsdale, NJ&lt;/style&gt;&lt;/pub-location&gt;&lt;publisher&gt;&lt;style face="normal" font="default" size="100%"&gt;Lawrence Erlbaum&lt;/style&gt;&lt;/publisher&gt;&lt;abstract&gt;&lt;style face="normal" font="default" size="100%"&gt;book&lt;/style&gt;&lt;/abstract&gt;&lt;urls/&gt;&lt;/record&gt;&lt;/Cite&gt;&lt;/EndNote&gt;</w:instrText>
      </w:r>
      <w:r>
        <w:rPr/>
        <w:fldChar w:fldCharType="separate" w:fldLock="0"/>
      </w:r>
      <w:r>
        <w:rPr>
          <w:rtl w:val="0"/>
        </w:rPr>
        <w:t>(Massaro, 1987)</w:t>
      </w:r>
      <w:r>
        <w:rPr/>
        <w:fldChar w:fldCharType="end" w:fldLock="0"/>
      </w:r>
      <w:r>
        <w:rPr>
          <w:rtl w:val="0"/>
        </w:rPr>
        <w:t xml:space="preserve">.  Consider this example: when bilinguals switch from English to Spanish, the initial 250 ms of speaking in Spanish are still under the influence of English phonology until the alternative Spanish patterns become fully active </w:t>
      </w:r>
      <w:r>
        <w:rPr/>
        <w:fldChar w:fldCharType="begin" w:fldLock="0"/>
      </w:r>
      <w:r>
        <w:instrText xml:space="preserve"> ADDIN EN.CITE &lt;EndNote&gt;&lt;Cite  &gt;&lt;Author&gt;Grosjean, F.&lt;/Author&gt;&lt;Year&gt;1994&lt;/Year&gt;&lt;RecNum&gt;6758&lt;/RecNum&gt;&lt;DisplayText&gt;(Grosjean &amp; Miller, 1994)&lt;/DisplayText&gt;&lt;record&gt;&lt;database name="allrefs.enl" path="/Files/EndNote/allrefs.enl"&gt;allrefs.enl&lt;/database&gt;&lt;source-app name="EndNote" version="14.0"&gt;EndNote&lt;/source-app&gt;&lt;rec-number&gt;6758&lt;/rec-number&gt;&lt;foreign-keys&gt;&lt;key app="EN" db-id="d90vsetwrpftsqew0f8pa5d3eepftezf5xpp"&gt;6758&lt;/key&gt;&lt;/foreign-keys&gt;&lt;ref-type name="Journal Article"&gt;17&lt;/ref-type&gt;&lt;contributors&gt;&lt;authors&gt;&lt;author&gt;&lt;style face="normal" font="default" size="100%"&gt;Grosjean, F.&lt;/style&gt;&lt;/author&gt;&lt;author&gt;&lt;style face="normal" font="default" size="100%"&gt;Miller, J.&lt;/style&gt;&lt;/author&gt;&lt;/authors&gt;&lt;/contributors&gt;&lt;titles&gt;&lt;title&gt;&lt;style face="normal" font="default" size="100%"&gt;Going in and out of languages&lt;/style&gt;&lt;/title&gt;&lt;secondary-title&gt;&lt;style face="normal" font="default" size="100%"&gt;Psychological Science&lt;/style&gt;&lt;/secondary-title&gt;&lt;/titles&gt;&lt;periodical&gt;&lt;full-title&gt;&lt;style face="normal" font="default" size="100%"&gt;Psychological Science&lt;/style&gt;&lt;/full-title&gt;&lt;/periodical&gt;&lt;pages&gt;&lt;style face="normal" font="default" size="100%"&gt;201-206&lt;/style&gt;&lt;/pages&gt;&lt;volume&gt;&lt;style face="normal" font="default" size="100%"&gt;5&lt;/style&gt;&lt;/volume&gt;&lt;dates&gt;&lt;year&gt;&lt;style face="normal" font="default" size="100%"&gt;1994&lt;/style&gt;&lt;/year&gt;&lt;/dates&gt;&lt;urls/&gt;&lt;/record&gt;&lt;/Cite&gt;&lt;/EndNote&gt;</w:instrText>
      </w:r>
      <w:r>
        <w:rPr/>
        <w:fldChar w:fldCharType="separate" w:fldLock="0"/>
      </w:r>
      <w:r>
        <w:rPr>
          <w:rtl w:val="0"/>
        </w:rPr>
        <w:t>(Grosjean &amp; Miller, 1994)</w:t>
      </w:r>
      <w:r>
        <w:rPr/>
        <w:fldChar w:fldCharType="end" w:fldLock="0"/>
      </w:r>
      <w:r>
        <w:rPr>
          <w:rtl w:val="0"/>
        </w:rPr>
        <w:t xml:space="preserve">.  Similarly, Goldman-Eisler </w:t>
      </w:r>
      <w:r>
        <w:rPr/>
        <w:fldChar w:fldCharType="begin" w:fldLock="0"/>
      </w:r>
      <w:r>
        <w:instrText xml:space="preserve"> ADDIN EN.CITE &lt;EndNote&gt;&lt;Cite ExcludeAuth="1" &gt;&lt;Author&gt;Goldman-Eisler, F.&lt;/Author&gt;&lt;Year&gt;1968&lt;/Year&gt;&lt;RecNum&gt;1577&lt;/RecNum&gt;&lt;DisplayText&gt;(1968)&lt;/DisplayText&gt;&lt;record&gt;&lt;database name="allrefs.enl" path="/Files/EndNote/allrefs.enl"&gt;allrefs.enl&lt;/database&gt;&lt;source-app name="EndNote" version="14.0"&gt;EndNote&lt;/source-app&gt;&lt;rec-number&gt;1577&lt;/rec-number&gt;&lt;foreign-keys&gt;&lt;key app="EN" db-id="d90vsetwrpftsqew0f8pa5d3eepftezf5xpp"&gt;1577&lt;/key&gt;&lt;/foreign-keys&gt;&lt;ref-type name="Book"&gt;6&lt;/ref-type&gt;&lt;contributors&gt;&lt;authors&gt;&lt;author&gt;&lt;style face="normal" font="default" size="100%"&gt;Goldman-Eisler, F.&lt;/style&gt;&lt;/author&gt;&lt;/authors&gt;&lt;/contributors&gt;&lt;titles&gt;&lt;title&gt;&lt;style face="normal" font="default" size="100%"&gt;Psycholinguistics: Experiments in spontaneous speech&lt;/style&gt;&lt;/title&gt;&lt;/titles&gt;&lt;dates&gt;&lt;year&gt;&lt;style face="normal" font="default" size="100%"&gt;1968&lt;/style&gt;&lt;/year&gt;&lt;/dates&gt;&lt;pub-location&gt;&lt;style face="normal" font="default" size="100%"&gt;New York&lt;/style&gt;&lt;/pub-location&gt;&lt;publisher&gt;&lt;style face="normal" font="default" size="100%"&gt;Academic Press&lt;/style&gt;&lt;/publisher&gt;&lt;abstract&gt;&lt;style face="normal" font="default" size="100%"&gt;book&lt;/style&gt;&lt;/abstract&gt;&lt;urls/&gt;&lt;/record&gt;&lt;/Cite&gt;&lt;/EndNote&gt;</w:instrText>
      </w:r>
      <w:r>
        <w:rPr/>
        <w:fldChar w:fldCharType="separate" w:fldLock="0"/>
      </w:r>
      <w:r>
        <w:rPr>
          <w:rtl w:val="0"/>
        </w:rPr>
        <w:t>(1968)</w:t>
      </w:r>
      <w:r>
        <w:rPr/>
        <w:fldChar w:fldCharType="end" w:fldLock="0"/>
      </w:r>
      <w:r>
        <w:rPr>
          <w:rtl w:val="0"/>
        </w:rPr>
        <w:t xml:space="preserve"> found that the majority retraces and repetitions typically affect nothing more than one or two syllables, extending across perhaps 500 ms. Attentional shifting between perceptual dimensions or languages can also be measured in terms of hundreds of milliseconds </w:t>
      </w:r>
      <w:r>
        <w:rPr/>
        <w:fldChar w:fldCharType="begin" w:fldLock="0"/>
      </w:r>
      <w:r>
        <w:instrText xml:space="preserve"> ADDIN EN.CITE &lt;EndNote&gt;&lt;Cite  &gt;&lt;Author&gt;Prior, A.&lt;/Author&gt;&lt;Year&gt;in press&lt;/Year&gt;&lt;RecNum&gt;10671&lt;/RecNum&gt;&lt;DisplayText&gt;(Prior &amp; MacWhinney, in press)&lt;/DisplayText&gt;&lt;record&gt;&lt;database name="allrefs.enl" path="/Files/EndNote/allrefs.enl"&gt;allrefs.enl&lt;/database&gt;&lt;source-app name="EndNote" version="14.0"&gt;EndNote&lt;/source-app&gt;&lt;rec-number&gt;10671&lt;/rec-number&gt;&lt;foreign-keys&gt;&lt;key app="EN" db-id="d90vsetwrpftsqew0f8pa5d3eepftezf5xpp"&gt;10671&lt;/key&gt;&lt;/foreign-keys&gt;&lt;ref-type name="Journal Article"&gt;17&lt;/ref-type&gt;&lt;contributors&gt;&lt;authors&gt;&lt;author&gt;&lt;style face="normal" font="default" size="100%"&gt;Prior, A.&lt;/style&gt;&lt;/author&gt;&lt;author&gt;&lt;style face="normal" font="default" size="100%"&gt;MacWhinney, B.&lt;/style&gt;&lt;/author&gt;&lt;/authors&gt;&lt;/contributors&gt;&lt;titles&gt;&lt;title&gt;&lt;style face="normal" font="default" size="100%"&gt;Beyond inhibition: A bilingual advantage in task switching&lt;/style&gt;&lt;/title&gt;&lt;secondary-title&gt;&lt;style face="normal" font="default" size="100%"&gt;Bilingualism&lt;/style&gt;&lt;/secondary-title&gt;&lt;/titles&gt;&lt;periodical&gt;&lt;full-title&gt;&lt;style face="normal" font="default" size="100%"&gt;Bilingualism&lt;/style&gt;&lt;/full-title&gt;&lt;/periodical&gt;&lt;dates&gt;&lt;year&gt;&lt;style face="normal" font="default" size="100%"&gt;in press&lt;/style&gt;&lt;/year&gt;&lt;/dates&gt;&lt;urls/&gt;&lt;/record&gt;&lt;/Cite&gt;&lt;/EndNote&gt;</w:instrText>
      </w:r>
      <w:r>
        <w:rPr/>
        <w:fldChar w:fldCharType="separate" w:fldLock="0"/>
      </w:r>
      <w:r>
        <w:rPr>
          <w:rtl w:val="0"/>
        </w:rPr>
        <w:t>(Prior &amp; MacWhinney, in press)</w:t>
      </w:r>
      <w:r>
        <w:rPr/>
        <w:fldChar w:fldCharType="end" w:fldLock="0"/>
      </w:r>
      <w:r>
        <w:rPr>
          <w:rtl w:val="0"/>
        </w:rPr>
        <w:t xml:space="preserve">. </w:t>
      </w:r>
    </w:p>
    <w:p>
      <w:pPr>
        <w:pStyle w:val="Normal.0"/>
        <w:bidi w:val="0"/>
        <w:rPr>
          <w:rStyle w:val="Default Paragraph Font.0"/>
        </w:rPr>
      </w:pPr>
      <w:r>
        <w:rPr>
          <w:rStyle w:val="Default Paragraph Font.0"/>
          <w:rtl w:val="0"/>
        </w:rPr>
        <w:t xml:space="preserve">The processing timeframe brackets a large number of important processes in language production and perception.  In terms of production, this timeframe governs lexical access (including gang effects and competitor effects), phonological activation in the output buffer, morphological combination, and triggering of syntactic combinatorial patterns. This timeframe also governs phonological assimilations occurring in fast speech patterns </w:t>
      </w:r>
      <w:r>
        <w:rPr/>
        <w:fldChar w:fldCharType="begin" w:fldLock="0"/>
      </w:r>
      <w:r>
        <w:instrText xml:space="preserve"> ADDIN EN.CITE &lt;EndNote&gt;&lt;Cite  &gt;&lt;Author&gt;Bybee, J.&lt;/Author&gt;&lt;Year&gt;2003&lt;/Year&gt;&lt;RecNum&gt;11111&lt;/RecNum&gt;&lt;DisplayText&gt;(Bybee, 2003)&lt;/DisplayText&gt;&lt;record&gt;&lt;database name="allrefs.enl" path="/Files/EndNote/allrefs.enl"&gt;allrefs.enl&lt;/database&gt;&lt;source-app name="EndNote" version="14.0"&gt;EndNote&lt;/source-app&gt;&lt;rec-number&gt;11111&lt;/rec-number&gt;&lt;foreign-keys&gt;&lt;key app="EN" db-id="d90vsetwrpftsqew0f8pa5d3eepftezf5xpp"&gt;11111&lt;/key&gt;&lt;/foreign-keys&gt;&lt;ref-type name="Book"&gt;6&lt;/ref-type&gt;&lt;contributors&gt;&lt;authors&gt;&lt;author&gt;&lt;style face="normal" font="default" size="100%"&gt;Bybee, J.&lt;/style&gt;&lt;/author&gt;&lt;/authors&gt;&lt;/contributors&gt;&lt;titles&gt;&lt;title&gt;&lt;style face="normal" font="default" size="100%"&gt;Phonology and Language Use&lt;/style&gt;&lt;/title&gt;&lt;/titles&gt;&lt;dates&gt;&lt;year&gt;&lt;style face="normal" font="default" size="100%"&gt;2003&lt;/style&gt;&lt;/year&gt;&lt;/dates&gt;&lt;pub-location&gt;&lt;style face="normal" font="default" size="100%"&gt;New York&lt;/style&gt;&lt;/pub-location&gt;&lt;publisher&gt;&lt;style face="normal" font="default" size="100%"&gt;Cambridge University Press&lt;/style&gt;&lt;/publisher&gt;&lt;urls/&gt;&lt;/record&gt;&lt;/Cite&gt;&lt;/EndNote&gt;</w:instrText>
      </w:r>
      <w:r>
        <w:rPr/>
        <w:fldChar w:fldCharType="separate" w:fldLock="0"/>
      </w:r>
      <w:r>
        <w:rPr>
          <w:rtl w:val="0"/>
        </w:rPr>
        <w:t>(Bybee, 2003)</w:t>
      </w:r>
      <w:r>
        <w:rPr/>
        <w:fldChar w:fldCharType="end" w:fldLock="0"/>
      </w:r>
      <w:r>
        <w:rPr>
          <w:rStyle w:val="Default Paragraph Font.0"/>
          <w:rtl w:val="0"/>
        </w:rPr>
        <w:t xml:space="preserve">. Using corpus linguistic methods, we can study how these assimilations increase through a discourse and how they vary with the nature of the addressee.  In this way we can see interactions between timeframes 1, 2, 3, and 5.  When we start to look in detail at fast speech assimilations in the speech mothers provide to their children, we then see further interactions with timeframe 4 </w:t>
      </w:r>
      <w:r>
        <w:rPr/>
        <w:fldChar w:fldCharType="begin" w:fldLock="0"/>
      </w:r>
      <w:r>
        <w:instrText xml:space="preserve"> ADDIN EN.CITE &lt;EndNote&gt;&lt;Cite  &gt;&lt;Author&gt;Smith, J.&lt;/Author&gt;&lt;Year&gt;2007&lt;/Year&gt;&lt;RecNum&gt;11112&lt;/RecNum&gt;&lt;DisplayText&gt;(J. Smith, Durham, &amp; Fortune, 2007)&lt;/DisplayText&gt;&lt;record&gt;&lt;database name="allrefs.enl" path="/Files/EndNote/allrefs.enl"&gt;allrefs.enl&lt;/database&gt;&lt;source-app name="EndNote" version="14.0"&gt;EndNote&lt;/source-app&gt;&lt;rec-number&gt;11112&lt;/rec-number&gt;&lt;foreign-keys&gt;&lt;key app="EN" db-id="d90vsetwrpftsqew0f8pa5d3eepftezf5xpp"&gt;11112&lt;/key&gt;&lt;/foreign-keys&gt;&lt;ref-type name="Journal Article"&gt;17&lt;/ref-type&gt;&lt;contributors&gt;&lt;authors&gt;&lt;author&gt;&lt;style face="normal" font="default" size="100%"&gt;Smith, J.&lt;/style&gt;&lt;/author&gt;&lt;author&gt;&lt;style face="normal" font="default" size="100%"&gt;Durham, M.&lt;/style&gt;&lt;/author&gt;&lt;author&gt;&lt;style face="normal" font="default" size="100%"&gt;Fortune, L.&lt;/style&gt;&lt;/author&gt;&lt;/authors&gt;&lt;/contributors&gt;&lt;titles&gt;&lt;title&gt;&lt;style face="normal" font="default" size="100%"&gt;"Mam, my trousers is fa'in doon!": Community, caregiver, and child in the acquisition of variation in a Scottish dialect&lt;/style&gt;&lt;/title&gt;&lt;secondary-title&gt;&lt;style face="normal" font="default" size="100%"&gt;Language Variation and Change&lt;/style&gt;&lt;/secondary-title&gt;&lt;/titles&gt;&lt;periodical&gt;&lt;full-title&gt;&lt;style face="normal" font="default" size="100%"&gt;Language Variation and Change&lt;/style&gt;&lt;/full-title&gt;&lt;/periodical&gt;&lt;pages&gt;&lt;style face="normal" font="default" size="100%"&gt;63-99&lt;/style&gt;&lt;/pages&gt;&lt;volume&gt;&lt;style face="normal" font="default" size="100%"&gt;19&lt;/style&gt;&lt;/volume&gt;&lt;dates&gt;&lt;year&gt;&lt;style face="normal" font="default" size="100%"&gt;2007&lt;/style&gt;&lt;/year&gt;&lt;/dates&gt;&lt;urls/&gt;&lt;/record&gt;&lt;/Cite&gt;&lt;/EndNote&gt;</w:instrText>
      </w:r>
      <w:r>
        <w:rPr/>
        <w:fldChar w:fldCharType="separate" w:fldLock="0"/>
      </w:r>
      <w:r>
        <w:rPr>
          <w:rtl w:val="0"/>
        </w:rPr>
        <w:t>(J. Smith, Durham, &amp; Fortune, 2007)</w:t>
      </w:r>
      <w:r>
        <w:rPr/>
        <w:fldChar w:fldCharType="end" w:fldLock="0"/>
      </w:r>
      <w:r>
        <w:rPr>
          <w:rStyle w:val="Default Paragraph Font.0"/>
          <w:rtl w:val="0"/>
        </w:rPr>
        <w:t xml:space="preserve">.  </w:t>
      </w:r>
    </w:p>
    <w:p>
      <w:pPr>
        <w:pStyle w:val="Normal.0"/>
        <w:bidi w:val="0"/>
        <w:rPr>
          <w:rStyle w:val="Default Paragraph Font.0"/>
        </w:rPr>
      </w:pPr>
      <w:r>
        <w:rPr>
          <w:rStyle w:val="Default Paragraph Font.0"/>
          <w:rtl w:val="0"/>
        </w:rPr>
        <w:t xml:space="preserve">    On the perceptual side, the processing timeframe brackets all of the basic auditory processes, as well as the input to statistical pattern learning, short-term auditory memory, processes for segmenting by stress patterns, orientation to specially marked signals, and adjustment to speaker variability. Generally, it is easier to apply corpus-based methods to the study of production.  However, we can also study perception by using corpora to delineate the shape the ambient language as input to the learner and the framework for social variation. </w:t>
      </w:r>
    </w:p>
    <w:p>
      <w:pPr>
        <w:pStyle w:val="Normal.0"/>
        <w:bidi w:val="0"/>
        <w:rPr>
          <w:rStyle w:val="Default Paragraph Font.0"/>
        </w:rPr>
      </w:pPr>
    </w:p>
    <w:p>
      <w:pPr>
        <w:pStyle w:val="Normal.0"/>
        <w:bidi w:val="0"/>
      </w:pPr>
      <w:r>
        <w:rPr>
          <w:rStyle w:val="Default Paragraph Font.0"/>
          <w:b w:val="1"/>
          <w:bCs w:val="1"/>
          <w:rtl w:val="0"/>
          <w:lang w:val="en-US"/>
        </w:rPr>
        <w:t xml:space="preserve">The turn-taking timeframe.  </w:t>
      </w:r>
      <w:r>
        <w:rPr>
          <w:rtl w:val="0"/>
        </w:rPr>
        <w:t xml:space="preserve">When we are engaged in conversational interactions, we are continually taking in data from our conversational partners.  We are watching their postures, gestures, and facial expressions.  As we are speaking, they may be inserting nods or words indicating their acceptance of what we are saying or at least showing that they are paying attention.  However, they may also be indicating impatience or a desire to have the floor.  At each point in the conversation, we are involved in the construction and completion of our current turn constructional unit (TCU) </w:t>
      </w:r>
      <w:r>
        <w:rPr/>
        <w:fldChar w:fldCharType="begin" w:fldLock="0"/>
      </w:r>
      <w:r>
        <w:instrText xml:space="preserve"> ADDIN EN.CITE &lt;EndNote&gt;&lt;Cite  &gt;&lt;Author&gt;Schegloff, E.&lt;/Author&gt;&lt;Year&gt;2007&lt;/Year&gt;&lt;RecNum&gt;10898&lt;/RecNum&gt;&lt;DisplayText&gt;(Schegloff, 2007)&lt;/DisplayText&gt;&lt;record&gt;&lt;database name="allrefs.enl" path="/Files/EndNote/allrefs.enl"&gt;allrefs.enl&lt;/database&gt;&lt;source-app name="EndNote" version="14.0"&gt;EndNote&lt;/source-app&gt;&lt;rec-number&gt;10898&lt;/rec-number&gt;&lt;foreign-keys&gt;&lt;key app="EN" db-id="d90vsetwrpftsqew0f8pa5d3eepftezf5xpp"&gt;10898&lt;/key&gt;&lt;/foreign-keys&gt;&lt;ref-type name="Book"&gt;6&lt;/ref-type&gt;&lt;contributors&gt;&lt;authors&gt;&lt;author&gt;&lt;style face="normal" font="default" size="100%"&gt;Schegloff, E.&lt;/style&gt;&lt;/author&gt;&lt;/authors&gt;&lt;/contributors&gt;&lt;titles&gt;&lt;title&gt;&lt;style face="normal" font="default" size="100%"&gt;Sequence organization in interaction: A primer in conversation analysis&lt;/style&gt;&lt;/title&gt;&lt;/titles&gt;&lt;dates&gt;&lt;year&gt;&lt;style face="normal" font="default" size="100%"&gt;2007&lt;/style&gt;&lt;/year&gt;&lt;/dates&gt;&lt;pub-location&gt;&lt;style face="normal" font="default" size="100%"&gt;New York&lt;/style&gt;&lt;/pub-location&gt;&lt;publisher&gt;&lt;style face="normal" font="default" size="100%"&gt;Cambridge University Press&lt;/style&gt;&lt;/publisher&gt;&lt;urls/&gt;&lt;/record&gt;&lt;/Cite&gt;&lt;/EndNote&gt;</w:instrText>
      </w:r>
      <w:r>
        <w:rPr/>
        <w:fldChar w:fldCharType="separate" w:fldLock="0"/>
      </w:r>
      <w:r>
        <w:rPr>
          <w:rtl w:val="0"/>
        </w:rPr>
        <w:t>(Schegloff, 2007)</w:t>
      </w:r>
      <w:r>
        <w:rPr/>
        <w:fldChar w:fldCharType="end" w:fldLock="0"/>
      </w:r>
      <w:r>
        <w:rPr>
          <w:rtl w:val="0"/>
        </w:rPr>
        <w:t>.  Through syntactic structure, gesture, and prosody we can signal our desire to maintain or yield the floor.  When a TCU is completed, we may add a further increment, start a new TCU, or allow an interlocutor to begin speaking.  All of these decisions involve the continual ingestion of information by the turn-taking system during real time.  The timeframe here is a bit longer than that of basic linguistic processing.  The basic system that responds to feedback from listeners operates in a framework of 500 ms, with additional components extending across a few seconds. By studying video data from natural, spontaneous interactions, corpus linguistics can make serious contributions to the understanding of processes in this timeframe.  However, achieving this progress requires adherence to a set of coding conventions for conversational features that can be unambiguously processed by computers.  This goal has been addressed within the CABank component of TalkBank at http://talkbank.org/CABank.</w:t>
      </w:r>
    </w:p>
    <w:p>
      <w:pPr>
        <w:pStyle w:val="Normal.0"/>
        <w:bidi w:val="0"/>
        <w:rPr>
          <w:rStyle w:val="Default Paragraph Font.0"/>
        </w:rPr>
      </w:pPr>
    </w:p>
    <w:p>
      <w:pPr>
        <w:pStyle w:val="Normal.0"/>
        <w:bidi w:val="0"/>
        <w:rPr>
          <w:rStyle w:val="Default Paragraph Font.0"/>
        </w:rPr>
      </w:pPr>
      <w:r>
        <w:rPr>
          <w:rStyle w:val="Default Paragraph Font.0"/>
          <w:b w:val="1"/>
          <w:bCs w:val="1"/>
          <w:rtl w:val="0"/>
          <w:lang w:val="en-US"/>
        </w:rPr>
        <w:t xml:space="preserve">The activity timeframe.  </w:t>
      </w:r>
      <w:r>
        <w:rPr>
          <w:rStyle w:val="Default Paragraph Font.0"/>
          <w:rtl w:val="0"/>
        </w:rPr>
        <w:t xml:space="preserve">Beyond our short-term involvement with turn-taking, we also make medium-term commitments to the shape of an interaction as an activity.  For each interaction, we set conversational goals that define particular activity types </w:t>
      </w:r>
      <w:r>
        <w:rPr/>
        <w:fldChar w:fldCharType="begin" w:fldLock="0"/>
      </w:r>
      <w:r>
        <w:instrText xml:space="preserve"> ADDIN EN.CITE &lt;EndNote&gt;&lt;Cite  &gt;&lt;Author&gt;Leont'ev, A.&lt;/Author&gt;&lt;Year&gt;1981&lt;/Year&gt;&lt;RecNum&gt;11113&lt;/RecNum&gt;&lt;DisplayText&gt;(Leont'ev, 1981)&lt;/DisplayText&gt;&lt;record&gt;&lt;database name="allrefs.enl" path="/Files/EndNote/allrefs.enl"&gt;allrefs.enl&lt;/database&gt;&lt;source-app name="EndNote" version="14.0"&gt;EndNote&lt;/source-app&gt;&lt;rec-number&gt;11113&lt;/rec-number&gt;&lt;foreign-keys&gt;&lt;key app="EN" db-id="d90vsetwrpftsqew0f8pa5d3eepftezf5xpp"&gt;11113&lt;/key&gt;&lt;/foreign-keys&gt;&lt;ref-type name="Book"&gt;6&lt;/ref-type&gt;&lt;contributors&gt;&lt;authors&gt;&lt;author&gt;&lt;style face="normal" font="default" size="100%"&gt;Leont'ev, A.&lt;/style&gt;&lt;/author&gt;&lt;/authors&gt;&lt;/contributors&gt;&lt;titles&gt;&lt;title&gt;&lt;style face="normal" font="default" size="100%"&gt;Problems of the development of mind (Russian original 1947)&lt;/style&gt;&lt;/title&gt;&lt;/titles&gt;&lt;dates&gt;&lt;year&gt;&lt;style face="normal" font="default" size="100%"&gt;1981&lt;/style&gt;&lt;/year&gt;&lt;/dates&gt;&lt;pub-location&gt;&lt;style face="normal" font="default" size="100%"&gt;Moscow&lt;/style&gt;&lt;/pub-location&gt;&lt;publisher&gt;&lt;style face="normal" font="default" size="100%"&gt;Progress Press&lt;/style&gt;&lt;/publisher&gt;&lt;urls/&gt;&lt;/record&gt;&lt;/Cite&gt;&lt;/EndNote&gt;</w:instrText>
      </w:r>
      <w:r>
        <w:rPr/>
        <w:fldChar w:fldCharType="separate" w:fldLock="0"/>
      </w:r>
      <w:r>
        <w:rPr>
          <w:rtl w:val="0"/>
        </w:rPr>
        <w:t>(Leont'ev, 1981)</w:t>
      </w:r>
      <w:r>
        <w:rPr/>
        <w:fldChar w:fldCharType="end" w:fldLock="0"/>
      </w:r>
      <w:r>
        <w:rPr>
          <w:rStyle w:val="Default Paragraph Font.0"/>
          <w:rtl w:val="0"/>
        </w:rPr>
        <w:t xml:space="preserve">. For example, we may engage a real estate agent to help us buy a house. Our linguistic interactions with this agent are then shaped by the status of the buying process and our goals in buying a house. After we complete one set of transactions with this agent, we will maintain an ongoing relation that will then shape our further interactions, days or weeks later (Keenan, MacWhinney &amp; Mayhew 1977).  Activity types provide a major challenge and opportunity for corpus-based analysis, because the shape of the linguistic resources we use vary widely across activity or situation types.  For example, the default reading of the word </w:t>
      </w:r>
      <w:r>
        <w:rPr>
          <w:rStyle w:val="Default Paragraph Font.0"/>
          <w:rtl w:val="0"/>
        </w:rPr>
        <w:t>“</w:t>
      </w:r>
      <w:r>
        <w:rPr>
          <w:rStyle w:val="Default Paragraph Font.0"/>
          <w:rtl w:val="0"/>
        </w:rPr>
        <w:t>bank</w:t>
      </w:r>
      <w:r>
        <w:rPr>
          <w:rStyle w:val="Default Paragraph Font.0"/>
          <w:rtl w:val="0"/>
        </w:rPr>
        <w:t xml:space="preserve">” </w:t>
      </w:r>
      <w:r>
        <w:rPr>
          <w:rStyle w:val="Default Paragraph Font.0"/>
          <w:rtl w:val="0"/>
        </w:rPr>
        <w:t xml:space="preserve">will be different if we are discussing economics, as opposed to methods of improving river hydraulics.  If we could configure computational corpus analysis to be sensitive to alternative activity types or genres </w:t>
      </w:r>
      <w:r>
        <w:rPr/>
        <w:fldChar w:fldCharType="begin" w:fldLock="0"/>
      </w:r>
      <w:r>
        <w:instrText xml:space="preserve"> ADDIN EN.CITE &lt;EndNote&gt;&lt;Cite  &gt;&lt;Author&gt;Biber, D.&lt;/Author&gt;&lt;Year&gt;1994&lt;/Year&gt;&lt;RecNum&gt;6679&lt;/RecNum&gt;&lt;DisplayText&gt;(Biber, Conrad, &amp; Reppen, 1994)&lt;/DisplayText&gt;&lt;record&gt;&lt;database name="allrefs.enl" path="/Files/EndNote/allrefs.enl"&gt;allrefs.enl&lt;/database&gt;&lt;source-app name="EndNote" version="14.0"&gt;EndNote&lt;/source-app&gt;&lt;rec-number&gt;6679&lt;/rec-number&gt;&lt;foreign-keys&gt;&lt;key app="EN" db-id="d90vsetwrpftsqew0f8pa5d3eepftezf5xpp"&gt;6679&lt;/key&gt;&lt;/foreign-keys&gt;&lt;ref-type name="Journal Article"&gt;17&lt;/ref-type&gt;&lt;contributors&gt;&lt;authors&gt;&lt;author&gt;&lt;style face="normal" font="default" size="100%"&gt;Biber, D.&lt;/style&gt;&lt;/author&gt;&lt;author&gt;&lt;style face="normal" font="default" size="100%"&gt;Conrad, S.&lt;/style&gt;&lt;/author&gt;&lt;author&gt;&lt;style face="normal" font="default" size="100%"&gt;Reppen, R.&lt;/style&gt;&lt;/author&gt;&lt;/authors&gt;&lt;/contributors&gt;&lt;titles&gt;&lt;title&gt;&lt;style face="normal" font="default" size="100%"&gt;Corpus-based approaches to issues in applied linguistics&lt;/style&gt;&lt;/title&gt;&lt;secondary-title&gt;&lt;style face="normal" font="default" size="100%"&gt;Applied Linguistics&lt;/style&gt;&lt;/secondary-title&gt;&lt;/titles&gt;&lt;periodical&gt;&lt;full-title&gt;&lt;style face="normal" font="default" size="100%"&gt;Applied Linguistics&lt;/style&gt;&lt;/full-title&gt;&lt;/periodical&gt;&lt;pages&gt;&lt;style face="normal" font="default" size="100%"&gt;169-189&lt;/style&gt;&lt;/pages&gt;&lt;volume&gt;&lt;style face="normal" font="default" size="100%"&gt;15&lt;/style&gt;&lt;/volume&gt;&lt;keywords&gt;&lt;keyword&gt;&lt;style face="normal" font="default" size="100%"&gt;CHILDES&lt;/style&gt;&lt;/keyword&gt;&lt;/keywords&gt;&lt;dates&gt;&lt;year&gt;&lt;style face="normal" font="default" size="100%"&gt;1994&lt;/style&gt;&lt;/year&gt;&lt;/dates&gt;&lt;urls/&gt;&lt;/record&gt;&lt;/Cite&gt;&lt;/EndNote&gt;</w:instrText>
      </w:r>
      <w:r>
        <w:rPr/>
        <w:fldChar w:fldCharType="separate" w:fldLock="0"/>
      </w:r>
      <w:r>
        <w:rPr>
          <w:rtl w:val="0"/>
        </w:rPr>
        <w:t>(Biber, Conrad, &amp; Reppen, 1994)</w:t>
      </w:r>
      <w:r>
        <w:rPr/>
        <w:fldChar w:fldCharType="end" w:fldLock="0"/>
      </w:r>
      <w:r>
        <w:rPr>
          <w:rStyle w:val="Default Paragraph Font.0"/>
          <w:rtl w:val="0"/>
        </w:rPr>
        <w:t>, we could markedly improve speech recognition, ambiguity resolution, parsing, and automatic discourse processing.</w:t>
      </w:r>
    </w:p>
    <w:p>
      <w:pPr>
        <w:pStyle w:val="Normal.0"/>
        <w:bidi w:val="0"/>
        <w:rPr>
          <w:rStyle w:val="Default Paragraph Font.0"/>
        </w:rPr>
      </w:pPr>
    </w:p>
    <w:p>
      <w:pPr>
        <w:pStyle w:val="Normal.0"/>
        <w:bidi w:val="0"/>
        <w:rPr>
          <w:rStyle w:val="Default Paragraph Font.0"/>
        </w:rPr>
      </w:pPr>
      <w:r>
        <w:rPr>
          <w:rStyle w:val="Default Paragraph Font.0"/>
          <w:b w:val="1"/>
          <w:bCs w:val="1"/>
          <w:rtl w:val="0"/>
          <w:lang w:val="en-US"/>
        </w:rPr>
        <w:t>The developmental timeframe</w:t>
      </w:r>
      <w:r>
        <w:rPr>
          <w:rStyle w:val="Default Paragraph Font.0"/>
          <w:rtl w:val="0"/>
        </w:rPr>
        <w:t>.  Jean Piaget</w:t>
      </w:r>
      <w:r>
        <w:rPr>
          <w:rStyle w:val="Default Paragraph Font.0"/>
          <w:rtl w:val="0"/>
        </w:rPr>
        <w:t>’</w:t>
      </w:r>
      <w:r>
        <w:rPr>
          <w:rStyle w:val="Default Paragraph Font.0"/>
          <w:rtl w:val="0"/>
        </w:rPr>
        <w:t xml:space="preserve">s genetic psychology </w:t>
      </w:r>
      <w:r>
        <w:rPr/>
        <w:fldChar w:fldCharType="begin" w:fldLock="0"/>
      </w:r>
      <w:r>
        <w:instrText xml:space="preserve"> ADDIN EN.CITE &lt;EndNote&gt;&lt;Cite  &gt;&lt;Author&gt;Piaget, J.&lt;/Author&gt;&lt;Year&gt;1954&lt;/Year&gt;&lt;RecNum&gt;3295&lt;/RecNum&gt;&lt;DisplayText&gt;(Piaget, 1954)&lt;/DisplayText&gt;&lt;record&gt;&lt;database name="allrefs.enl" path="/Files/EndNote/allrefs.enl"&gt;allrefs.enl&lt;/database&gt;&lt;source-app name="EndNote" version="14.0"&gt;EndNote&lt;/source-app&gt;&lt;rec-number&gt;3295&lt;/rec-number&gt;&lt;foreign-keys&gt;&lt;key app="EN" db-id="d90vsetwrpftsqew0f8pa5d3eepftezf5xpp"&gt;3295&lt;/key&gt;&lt;/foreign-keys&gt;&lt;ref-type name="Book"&gt;6&lt;/ref-type&gt;&lt;contributors&gt;&lt;authors&gt;&lt;author&gt;&lt;style face="normal" font="default" size="100%"&gt;Piaget, J.&lt;/style&gt;&lt;/author&gt;&lt;/authors&gt;&lt;/contributors&gt;&lt;titles&gt;&lt;title&gt;&lt;style face="normal" font="default" size="100%"&gt;The construction of reality in the child&lt;/style&gt;&lt;/title&gt;&lt;/titles&gt;&lt;keywords&gt;&lt;keyword&gt;&lt;style face="normal" font="default" size="100%"&gt;piagetian theory&lt;/style&gt;&lt;/keyword&gt;&lt;/keywords&gt;&lt;dates&gt;&lt;year&gt;&lt;style face="normal" font="default" size="100%"&gt;1954&lt;/style&gt;&lt;/year&gt;&lt;/dates&gt;&lt;pub-location&gt;&lt;style face="normal" font="default" size="100%"&gt;New York&lt;/style&gt;&lt;/pub-location&gt;&lt;publisher&gt;&lt;style face="normal" font="default" size="100%"&gt;Basic Books&lt;/style&gt;&lt;/publisher&gt;&lt;abstract&gt;&lt;style face="normal" font="default" size="100%"&gt;book&lt;/style&gt;&lt;/abstract&gt;&lt;urls/&gt;&lt;/record&gt;&lt;/Cite&gt;&lt;/EndNote&gt;</w:instrText>
      </w:r>
      <w:r>
        <w:rPr/>
        <w:fldChar w:fldCharType="separate" w:fldLock="0"/>
      </w:r>
      <w:r>
        <w:rPr>
          <w:rtl w:val="0"/>
        </w:rPr>
        <w:t>(Piaget, 1954)</w:t>
      </w:r>
      <w:r>
        <w:rPr/>
        <w:fldChar w:fldCharType="end" w:fldLock="0"/>
      </w:r>
      <w:r>
        <w:rPr>
          <w:rStyle w:val="Default Paragraph Font.0"/>
          <w:rtl w:val="0"/>
        </w:rPr>
        <w:t xml:space="preserve"> was the first fully articulated emergentist view of development. Impressively complete in its coverage, it failed to specify details regarding mechanisms of development. To provide this missing mechanistic detail, current emergentist accounts of development rely on connectionism </w:t>
      </w:r>
      <w:r>
        <w:rPr/>
        <w:fldChar w:fldCharType="begin" w:fldLock="0"/>
      </w:r>
      <w:r>
        <w:instrText xml:space="preserve"> ADDIN EN.CITE &lt;EndNote&gt;&lt;Cite  &gt;&lt;Author&gt;Quinlan, P. T.&lt;/Author&gt;&lt;Year&gt;2003&lt;/Year&gt;&lt;RecNum&gt;10160&lt;/RecNum&gt;&lt;DisplayText&gt;(Quinlan, 2003)&lt;/DisplayText&gt;&lt;record&gt;&lt;database name="allrefs.enl" path="/Files/EndNote/allrefs.enl"&gt;allrefs.enl&lt;/database&gt;&lt;source-app name="EndNote" version="14.0"&gt;EndNote&lt;/source-app&gt;&lt;rec-number&gt;10160&lt;/rec-number&gt;&lt;foreign-keys&gt;&lt;key app="EN" db-id="d90vsetwrpftsqew0f8pa5d3eepftezf5xpp"&gt;10160&lt;/key&gt;&lt;/foreign-keys&gt;&lt;ref-type name="Book"&gt;6&lt;/ref-type&gt;&lt;contributors&gt;&lt;authors&gt;&lt;author&gt;&lt;style face="normal" font="default" size="100%"&gt;Quinlan, P. T.&lt;/style&gt;&lt;/author&gt;&lt;/authors&gt;&lt;/contributors&gt;&lt;titles&gt;&lt;title&gt;&lt;style face="normal" font="default" size="100%"&gt;Connectionist models of development: Developmental processes in real and artificial neural networks&lt;/style&gt;&lt;/title&gt;&lt;/titles&gt;&lt;dates&gt;&lt;year&gt;&lt;style face="normal" font="default" size="100%"&gt;2003&lt;/style&gt;&lt;/year&gt;&lt;/dates&gt;&lt;pub-location&gt;&lt;style face="normal" font="default" size="100%"&gt;Hove, UK&lt;/style&gt;&lt;/pub-location&gt;&lt;publisher&gt;&lt;style face="normal" font="default" size="100%"&gt;Psychology Press&lt;/style&gt;&lt;/publisher&gt;&lt;urls/&gt;&lt;/record&gt;&lt;/Cite&gt;&lt;/EndNote&gt;</w:instrText>
      </w:r>
      <w:r>
        <w:rPr/>
        <w:fldChar w:fldCharType="separate" w:fldLock="0"/>
      </w:r>
      <w:r>
        <w:rPr>
          <w:rtl w:val="0"/>
        </w:rPr>
        <w:t>(Quinlan, 2003)</w:t>
      </w:r>
      <w:r>
        <w:rPr/>
        <w:fldChar w:fldCharType="end" w:fldLock="0"/>
      </w:r>
      <w:r>
        <w:rPr>
          <w:rStyle w:val="Default Paragraph Font.0"/>
          <w:rtl w:val="0"/>
        </w:rPr>
        <w:t xml:space="preserve">, embodied cognition </w:t>
      </w:r>
      <w:r>
        <w:rPr/>
        <w:fldChar w:fldCharType="begin" w:fldLock="0"/>
      </w:r>
      <w:r>
        <w:instrText xml:space="preserve"> ADDIN EN.CITE &lt;EndNote&gt;&lt;Cite  &gt;&lt;Author&gt;Klatzky, R.&lt;/Author&gt;&lt;Year&gt;2008&lt;/Year&gt;&lt;RecNum&gt;11079&lt;/RecNum&gt;&lt;DisplayText&gt;(Klatzky, MacWhinney, &amp; Behrmann, 2008)&lt;/DisplayText&gt;&lt;record&gt;&lt;database name="allrefs.enl" path="/Files/EndNote/allrefs.enl"&gt;allrefs.enl&lt;/database&gt;&lt;source-app name="EndNote" version="14.0"&gt;EndNote&lt;/source-app&gt;&lt;rec-number&gt;11079&lt;/rec-number&gt;&lt;foreign-keys&gt;&lt;key app="EN" db-id="d90vsetwrpftsqew0f8pa5d3eepftezf5xpp"&gt;11079&lt;/key&gt;&lt;/foreign-keys&gt;&lt;ref-type name="Edited Book"&gt;28&lt;/ref-type&gt;&lt;contributors&gt;&lt;authors&gt;&lt;author&gt;&lt;style face="normal" font="default" size="100%"&gt;Klatzky, R.&lt;/style&gt;&lt;/author&gt;&lt;author&gt;&lt;style face="normal" font="default" size="100%"&gt;MacWhinney, B&lt;/style&gt;&lt;/author&gt;&lt;author&gt;&lt;style face="normal" font="default" size="100%"&gt;Behrmann, M.&lt;/style&gt;&lt;/author&gt;&lt;/authors&gt;&lt;/contributors&gt;&lt;titles&gt;&lt;title&gt;&lt;style face="normal" font="default" size="100%"&gt;Embodiment, ego-space, and action&lt;/style&gt;&lt;/title&gt;&lt;/titles&gt;&lt;dates&gt;&lt;year&gt;&lt;style face="normal" font="default" size="100%"&gt;2008&lt;/style&gt;&lt;/year&gt;&lt;/dates&gt;&lt;pub-location&gt;&lt;style face="normal" font="default" size="100%"&gt;New York&lt;/style&gt;&lt;/pub-location&gt;&lt;publisher&gt;&lt;style face="normal" font="default" size="100%"&gt;Psychology Press&lt;/style&gt;&lt;/publisher&gt;&lt;urls/&gt;&lt;/record&gt;&lt;/Cite&gt;&lt;/EndNote&gt;</w:instrText>
      </w:r>
      <w:r>
        <w:rPr/>
        <w:fldChar w:fldCharType="separate" w:fldLock="0"/>
      </w:r>
      <w:r>
        <w:rPr>
          <w:rtl w:val="0"/>
        </w:rPr>
        <w:t>(Klatzky, MacWhinney, &amp; Behrmann, 2008)</w:t>
      </w:r>
      <w:r>
        <w:rPr/>
        <w:fldChar w:fldCharType="end" w:fldLock="0"/>
      </w:r>
      <w:r>
        <w:rPr>
          <w:rStyle w:val="Default Paragraph Font.0"/>
          <w:rtl w:val="0"/>
        </w:rPr>
        <w:t xml:space="preserve">, and dynamic systems theory </w:t>
      </w:r>
      <w:r>
        <w:rPr/>
        <w:fldChar w:fldCharType="begin" w:fldLock="0"/>
      </w:r>
      <w:r>
        <w:instrText xml:space="preserve"> ADDIN EN.CITE &lt;EndNote&gt;&lt;Cite  &gt;&lt;Author&gt;Thelen, E.&lt;/Author&gt;&lt;Year&gt;1994&lt;/Year&gt;&lt;RecNum&gt;6981&lt;/RecNum&gt;&lt;DisplayText&gt;(Thelen &amp; Smith, 1994)&lt;/DisplayText&gt;&lt;record&gt;&lt;database name="allrefs.enl" path="/Files/EndNote/allrefs.enl"&gt;allrefs.enl&lt;/database&gt;&lt;source-app name="EndNote" version="14.0"&gt;EndNote&lt;/source-app&gt;&lt;rec-number&gt;6981&lt;/rec-number&gt;&lt;foreign-keys&gt;&lt;key app="EN" db-id="d90vsetwrpftsqew0f8pa5d3eepftezf5xpp"&gt;6981&lt;/key&gt;&lt;/foreign-keys&gt;&lt;ref-type name="Book"&gt;6&lt;/ref-type&gt;&lt;contributors&gt;&lt;authors&gt;&lt;author&gt;&lt;style face="normal" font="default" size="100%"&gt;Thelen, E.&lt;/style&gt;&lt;/author&gt;&lt;author&gt;&lt;style face="normal" font="default" size="100%"&gt;Smith, L.&lt;/style&gt;&lt;/author&gt;&lt;/authors&gt;&lt;/contributors&gt;&lt;titles&gt;&lt;title&gt;&lt;style face="normal" font="default" size="100%"&gt;A dynamic systems approach to the development of cognition and action&lt;/style&gt;&lt;/title&gt;&lt;/titles&gt;&lt;dates&gt;&lt;year&gt;&lt;style face="normal" font="default" size="100%"&gt;1994&lt;/style&gt;&lt;/year&gt;&lt;/dates&gt;&lt;pub-location&gt;&lt;style face="normal" font="default" size="100%"&gt;Cambridge, MA&lt;/style&gt;&lt;/pub-location&gt;&lt;publisher&gt;&lt;style face="normal" font="default" size="100%"&gt;MIT Press&lt;/style&gt;&lt;/publisher&gt;&lt;urls/&gt;&lt;/record&gt;&lt;/Cite&gt;&lt;/EndNote&gt;</w:instrText>
      </w:r>
      <w:r>
        <w:rPr/>
        <w:fldChar w:fldCharType="separate" w:fldLock="0"/>
      </w:r>
      <w:r>
        <w:rPr>
          <w:rtl w:val="0"/>
        </w:rPr>
        <w:t>(Thelen &amp; Smith, 1994)</w:t>
      </w:r>
      <w:r>
        <w:rPr/>
        <w:fldChar w:fldCharType="end" w:fldLock="0"/>
      </w:r>
      <w:r>
        <w:rPr>
          <w:rStyle w:val="Default Paragraph Font.0"/>
          <w:rtl w:val="0"/>
        </w:rPr>
        <w:t xml:space="preserve">. Emergentist theory has been used to characterize two different, but interrelated, aspects of development. The first is the learning of basic facts, forms, relations, names, and procedures. Connectionist and usage-based models of language learning, such as those that deal with learning of the past tense </w:t>
      </w:r>
      <w:r>
        <w:rPr/>
        <w:fldChar w:fldCharType="begin" w:fldLock="0"/>
      </w:r>
      <w:r>
        <w:instrText xml:space="preserve"> ADDIN EN.CITE &lt;EndNote&gt;&lt;Cite  &gt;&lt;Author&gt;MacWhinney, B.&lt;/Author&gt;&lt;Year&gt;1991&lt;/Year&gt;&lt;RecNum&gt;4965&lt;/RecNum&gt;&lt;DisplayText&gt;(MacWhinney &amp; Leinbach, 1991)&lt;/DisplayText&gt;&lt;record&gt;&lt;database name="allrefs.enl" path="/Files/EndNote/allrefs.enl"&gt;allrefs.enl&lt;/database&gt;&lt;source-app name="EndNote" version="14.0"&gt;EndNote&lt;/source-app&gt;&lt;rec-number&gt;4965&lt;/rec-number&gt;&lt;foreign-keys&gt;&lt;key app="EN" db-id="d90vsetwrpftsqew0f8pa5d3eepftezf5xpp"&gt;4965&lt;/key&gt;&lt;/foreign-keys&gt;&lt;ref-type name="Journal Article"&gt;17&lt;/ref-type&gt;&lt;contributors&gt;&lt;authors&gt;&lt;author&gt;&lt;style face="normal" font="default" size="100%"&gt;MacWhinney, B.&lt;/style&gt;&lt;/author&gt;&lt;author&gt;&lt;style face="normal" font="default" size="100%"&gt;Leinbach, J.&lt;/style&gt;&lt;/author&gt;&lt;/authors&gt;&lt;/contributors&gt;&lt;titles&gt;&lt;title&gt;&lt;style face="normal" font="default" size="100%"&gt;Implementations are not conceptualizations: Revising the verb learning model&lt;/style&gt;&lt;/title&gt;&lt;secondary-title&gt;&lt;style face="normal" font="default" size="100%"&gt;Cognition&lt;/style&gt;&lt;/secondary-title&gt;&lt;/titles&gt;&lt;periodical&gt;&lt;full-title&gt;&lt;style face="normal" font="default" size="100%"&gt;Cognition&lt;/style&gt;&lt;/full-title&gt;&lt;/periodical&gt;&lt;pages&gt;&lt;style face="normal" font="default" size="100%"&gt;121-157&lt;/style&gt;&lt;/pages&gt;&lt;volume&gt;&lt;style face="normal" font="default" size="100%"&gt;29&lt;/style&gt;&lt;/volume&gt;&lt;dates&gt;&lt;year&gt;&lt;style face="normal" font="default" size="100%"&gt;1991&lt;/style&gt;&lt;/year&gt;&lt;/dates&gt;&lt;urls/&gt;&lt;/record&gt;&lt;/Cite&gt;&lt;/EndNote&gt;</w:instrText>
      </w:r>
      <w:r>
        <w:rPr/>
        <w:fldChar w:fldCharType="separate" w:fldLock="0"/>
      </w:r>
      <w:r>
        <w:rPr>
          <w:rtl w:val="0"/>
        </w:rPr>
        <w:t>(MacWhinney &amp; Leinbach, 1991)</w:t>
      </w:r>
      <w:r>
        <w:rPr/>
        <w:fldChar w:fldCharType="end" w:fldLock="0"/>
      </w:r>
      <w:r>
        <w:rPr>
          <w:rStyle w:val="Default Paragraph Font.0"/>
          <w:rtl w:val="0"/>
        </w:rPr>
        <w:t xml:space="preserve">, syntactic patterns </w:t>
      </w:r>
      <w:r>
        <w:rPr/>
        <w:fldChar w:fldCharType="begin" w:fldLock="0"/>
      </w:r>
      <w:r>
        <w:instrText xml:space="preserve"> ADDIN EN.CITE &lt;EndNote&gt;&lt;Cite  &gt;&lt;Author&gt;Waterfall, H.&lt;/Author&gt;&lt;Year&gt;2010&lt;/Year&gt;&lt;RecNum&gt;11070&lt;/RecNum&gt;&lt;DisplayText&gt;(Waterfall, Sandbank, Onnis, &amp; Edelman, 2010)&lt;/DisplayText&gt;&lt;record&gt;&lt;database name="allrefs.enl" path="/Files/EndNote/allrefs.enl"&gt;allrefs.enl&lt;/database&gt;&lt;source-app name="EndNote" version="14.0"&gt;EndNote&lt;/source-app&gt;&lt;rec-number&gt;11070&lt;/rec-number&gt;&lt;foreign-keys&gt;&lt;key app="EN" db-id="d90vsetwrpftsqew0f8pa5d3eepftezf5xpp"&gt;11070&lt;/key&gt;&lt;/foreign-keys&gt;&lt;ref-type name="Journal Article"&gt;17&lt;/ref-type&gt;&lt;contributors&gt;&lt;authors&gt;&lt;author&gt;&lt;style face="normal" font="default" size="100%"&gt;Waterfall, H.&lt;/style&gt;&lt;/author&gt;&lt;author&gt;&lt;style face="normal" font="default" size="100%"&gt;Sandbank, B.&lt;/style&gt;&lt;/author&gt;&lt;author&gt;&lt;style face="normal" font="default" size="100%"&gt;Onnis, L.&lt;/style&gt;&lt;/author&gt;&lt;author&gt;&lt;style face="normal" font="default" size="100%"&gt;Edelman, S.&lt;/style&gt;&lt;/author&gt;&lt;/authors&gt;&lt;/contributors&gt;&lt;titles&gt;&lt;title&gt;&lt;style face="normal" font="default" size="100%"&gt;An empirical generative framework for computational modeling of language acquisition&lt;/style&gt;&lt;/title&gt;&lt;secondary-title&gt;&lt;style face="normal" font="default" size="100%"&gt;Journal of Child Language&lt;/style&gt;&lt;/secondary-title&gt;&lt;/titles&gt;&lt;periodical&gt;&lt;full-title&gt;&lt;style face="normal" font="default" size="100%"&gt;Journal of Child Language&lt;/style&gt;&lt;/full-title&gt;&lt;/periodical&gt;&lt;pages&gt;&lt;style face="normal" font="default" size="100%"&gt;671-703&lt;/style&gt;&lt;/pages&gt;&lt;volume&gt;&lt;style face="normal" font="default" size="100%"&gt;37&lt;/style&gt;&lt;/volume&gt;&lt;dates&gt;&lt;year&gt;&lt;style face="normal" font="default" size="100%"&gt;2010&lt;/style&gt;&lt;/year&gt;&lt;/dates&gt;&lt;urls/&gt;&lt;/record&gt;&lt;/Cite&gt;&lt;/EndNote&gt;</w:instrText>
      </w:r>
      <w:r>
        <w:rPr/>
        <w:fldChar w:fldCharType="separate" w:fldLock="0"/>
      </w:r>
      <w:r>
        <w:rPr>
          <w:rtl w:val="0"/>
        </w:rPr>
        <w:t>(Waterfall, Sandbank, Onnis, &amp; Edelman, 2010)</w:t>
      </w:r>
      <w:r>
        <w:rPr/>
        <w:fldChar w:fldCharType="end" w:fldLock="0"/>
      </w:r>
      <w:r>
        <w:rPr>
          <w:rStyle w:val="Default Paragraph Font.0"/>
          <w:rtl w:val="0"/>
        </w:rPr>
        <w:t xml:space="preserve">, or word segmentation </w:t>
      </w:r>
      <w:r>
        <w:rPr/>
        <w:fldChar w:fldCharType="begin" w:fldLock="0"/>
      </w:r>
      <w:r>
        <w:instrText xml:space="preserve"> ADDIN EN.CITE &lt;EndNote&gt;&lt;Cite  &gt;&lt;Author&gt;Monaghan, P.&lt;/Author&gt;&lt;Year&gt;2010&lt;/Year&gt;&lt;RecNum&gt;11066&lt;/RecNum&gt;&lt;DisplayText&gt;(Monaghan &amp; Christiansen, 2010)&lt;/DisplayText&gt;&lt;record&gt;&lt;database name="allrefs.enl" path="/Files/EndNote/allrefs.enl"&gt;allrefs.enl&lt;/database&gt;&lt;source-app name="EndNote" version="14.0"&gt;EndNote&lt;/source-app&gt;&lt;rec-number&gt;11066&lt;/rec-number&gt;&lt;foreign-keys&gt;&lt;key app="EN" db-id="d90vsetwrpftsqew0f8pa5d3eepftezf5xpp"&gt;11066&lt;/key&gt;&lt;/foreign-keys&gt;&lt;ref-type name="Journal Article"&gt;17&lt;/ref-type&gt;&lt;contributors&gt;&lt;authors&gt;&lt;author&gt;&lt;style face="normal" font="default" size="100%"&gt;Monaghan, P.&lt;/style&gt;&lt;/author&gt;&lt;author&gt;&lt;style face="normal" font="default" size="100%"&gt;Christiansen, M.&lt;/style&gt;&lt;/author&gt;&lt;/authors&gt;&lt;/contributors&gt;&lt;titles&gt;&lt;title&gt;&lt;style face="normal" font="default" size="100%"&gt;Words in puddles of sound: modelling psycholinguistic effects in speech segmentation&lt;/style&gt;&lt;/title&gt;&lt;secondary-title&gt;&lt;style face="normal" font="default" size="100%"&gt;Journal of Child Language&lt;/style&gt;&lt;/secondary-title&gt;&lt;/titles&gt;&lt;periodical&gt;&lt;full-title&gt;&lt;style face="normal" font="default" size="100%"&gt;Journal of Child Language&lt;/style&gt;&lt;/full-title&gt;&lt;/periodical&gt;&lt;pages&gt;&lt;style face="normal" font="default" size="100%"&gt;545-564&lt;/style&gt;&lt;/pages&gt;&lt;volume&gt;&lt;style face="normal" font="default" size="100%"&gt;37&lt;/style&gt;&lt;/volume&gt;&lt;dates&gt;&lt;year&gt;&lt;style face="normal" font="default" size="100%"&gt;2010&lt;/style&gt;&lt;/year&gt;&lt;/dates&gt;&lt;urls/&gt;&lt;/record&gt;&lt;/Cite&gt;&lt;/EndNote&gt;</w:instrText>
      </w:r>
      <w:r>
        <w:rPr/>
        <w:fldChar w:fldCharType="separate" w:fldLock="0"/>
      </w:r>
      <w:r>
        <w:rPr>
          <w:rtl w:val="0"/>
        </w:rPr>
        <w:t>(Monaghan &amp; Christiansen, 2010)</w:t>
      </w:r>
      <w:r>
        <w:rPr/>
        <w:fldChar w:fldCharType="end" w:fldLock="0"/>
      </w:r>
      <w:r>
        <w:rPr>
          <w:rStyle w:val="Default Paragraph Font.0"/>
          <w:rtl w:val="0"/>
        </w:rPr>
        <w:t xml:space="preserve"> often focus on this type of development. A second type of development involves the learning of new strategies and frameworks that can alter the overall shape of language and cognition, often through cue focusing and bootstrapping </w:t>
      </w:r>
      <w:r>
        <w:rPr/>
        <w:fldChar w:fldCharType="begin" w:fldLock="0"/>
      </w:r>
      <w:r>
        <w:instrText xml:space="preserve"> ADDIN EN.CITE &lt;EndNote&gt;&lt;Cite  &gt;&lt;Author&gt;Regier, T.&lt;/Author&gt;&lt;Year&gt;2005&lt;/Year&gt;&lt;RecNum&gt;10391&lt;/RecNum&gt;&lt;DisplayText&gt;(Regier, 2005; L. B. Smith &amp; Colunga, 2003)&lt;/DisplayText&gt;&lt;record&gt;&lt;database name="allrefs.enl" path="/Files/EndNote/allrefs.enl"&gt;allrefs.enl&lt;/database&gt;&lt;source-app name="EndNote" version="14.0"&gt;EndNote&lt;/source-app&gt;&lt;rec-number&gt;10391&lt;/rec-number&gt;&lt;foreign-keys&gt;&lt;key app="EN" db-id="d90vsetwrpftsqew0f8pa5d3eepftezf5xpp"&gt;10391&lt;/key&gt;&lt;/foreign-keys&gt;&lt;ref-type name="Journal Article"&gt;17&lt;/ref-type&gt;&lt;contributors&gt;&lt;authors&gt;&lt;author&gt;&lt;style face="normal" font="default" size="100%"&gt;Regier, T.&lt;/style&gt;&lt;/author&gt;&lt;/authors&gt;&lt;/contributors&gt;&lt;titles&gt;&lt;title&gt;&lt;style face="normal" font="default" size="100%"&gt;The emergence of words: Attentional learning in form and meaning&lt;/style&gt;&lt;/title&gt;&lt;secondary-title&gt;&lt;style face="normal" font="default" size="100%"&gt;Cognitive Science&lt;/style&gt;&lt;/secondary-title&gt;&lt;/titles&gt;&lt;periodical&gt;&lt;full-title&gt;&lt;style face="normal" font="default" size="100%"&gt;Cognitive Science&lt;/style&gt;&lt;/full-title&gt;&lt;/periodical&gt;&lt;pages&gt;&lt;style face="normal" font="default" size="100%"&gt;819-865&lt;/style&gt;&lt;/pages&gt;&lt;volume&gt;&lt;style face="normal" font="default" size="100%"&gt;29&lt;/style&gt;&lt;/volume&gt;&lt;dates&gt;&lt;year&gt;&lt;style face="normal" font="default" size="100%"&gt;2005&lt;/style&gt;&lt;/year&gt;&lt;/dates&gt;&lt;urls/&gt;&lt;/record&gt;&lt;/Cite&gt;&lt;Cite  &gt;&lt;Author&gt;Smith, L. B.&lt;/Author&gt;&lt;Year&gt;2003&lt;/Year&gt;&lt;RecNum&gt;10161&lt;/RecNum&gt;&lt;record&gt;&lt;database name="allrefs.enl" path="/Files/EndNote/allrefs.enl"&gt;allrefs.enl&lt;/database&gt;&lt;source-app name="EndNote" version="14.0"&gt;EndNote&lt;/source-app&gt;&lt;rec-number&gt;10161&lt;/rec-number&gt;&lt;foreign-keys&gt;&lt;key app="EN" db-id="d90vsetwrpftsqew0f8pa5d3eepftezf5xpp"&gt;10161&lt;/key&gt;&lt;/foreign-keys&gt;&lt;ref-type name="Book Section"&gt;5&lt;/ref-type&gt;&lt;contributors&gt;&lt;authors&gt;&lt;author&gt;&lt;style face="normal" font="default" size="100%"&gt;Smith, L. B.&lt;/style&gt;&lt;/author&gt;&lt;author&gt;&lt;style face="normal" font="default" size="100%"&gt;Colunga, E.&lt;/style&gt;&lt;/author&gt;&lt;/authors&gt;&lt;secondary-authors&gt;&lt;author&gt;&lt;style face="normal" font="default" size="100%"&gt;Rakison, D. H.&lt;/style&gt;&lt;/author&gt;&lt;author&gt;&lt;style face="normal" font="default" size="100%"&gt;Oakes, L.&lt;/style&gt;&lt;/author&gt;&lt;/secondary-authors&gt;&lt;/contributors&gt;&lt;titles&gt;&lt;title&gt;&lt;style face="normal" font="default" size="100%"&gt;Making an ontology: Cross-lingusitic evidence&lt;/style&gt;&lt;/title&gt;&lt;secondary-title&gt;&lt;style face="normal" font="default" size="100%"&gt;Early category and concept development: Making sense of the blooming, buzzing confusion&lt;/style&gt;&lt;/secondary-title&gt;&lt;/titles&gt;&lt;pages&gt;&lt;style face="normal" font="default" size="100%"&gt;275-302&lt;/style&gt;&lt;/pages&gt;&lt;dates&gt;&lt;year&gt;&lt;style face="normal" font="default" size="100%"&gt;2003&lt;/style&gt;&lt;/year&gt;&lt;/dates&gt;&lt;pub-location&gt;&lt;style face="normal" font="default" size="100%"&gt;London&lt;/style&gt;&lt;/pub-location&gt;&lt;publisher&gt;&lt;style face="normal" font="default" size="100%"&gt;London University Press&lt;/style&gt;&lt;/publisher&gt;&lt;urls/&gt;&lt;/record&gt;&lt;/Cite&gt;&lt;/EndNote&gt;</w:instrText>
      </w:r>
      <w:r>
        <w:rPr/>
        <w:fldChar w:fldCharType="separate" w:fldLock="0"/>
      </w:r>
      <w:r>
        <w:rPr>
          <w:rtl w:val="0"/>
        </w:rPr>
        <w:t>(Regier, 2005; L. B. Smith &amp; Colunga, 2003)</w:t>
      </w:r>
      <w:r>
        <w:rPr/>
        <w:fldChar w:fldCharType="end" w:fldLock="0"/>
      </w:r>
      <w:r>
        <w:rPr>
          <w:rStyle w:val="Default Paragraph Font.0"/>
          <w:rtl w:val="0"/>
        </w:rPr>
        <w:t xml:space="preserve">. The relevance of corpus-based analyses to the study of language development has been demonstrated extensively in recent work based on the CHILDES and BilingBank corpora.  There are now over 3500 published articles based on the use of these corpora.  A recent issue of the Journal of Child Language </w:t>
      </w:r>
      <w:r>
        <w:rPr/>
        <w:fldChar w:fldCharType="begin" w:fldLock="0"/>
      </w:r>
      <w:r>
        <w:instrText xml:space="preserve"> ADDIN EN.CITE &lt;EndNote&gt;&lt;Cite  &gt;&lt;Author&gt;MacWhinney, B.&lt;/Author&gt;&lt;Year&gt;2010&lt;/Year&gt;&lt;RecNum&gt;11063&lt;/RecNum&gt;&lt;DisplayText&gt;(MacWhinney, 2010)&lt;/DisplayText&gt;&lt;record&gt;&lt;database name="allrefs.enl" path="/Files/EndNote/allrefs.enl"&gt;allrefs.enl&lt;/database&gt;&lt;source-app name="EndNote" version="14.0"&gt;EndNote&lt;/source-app&gt;&lt;rec-number&gt;11063&lt;/rec-number&gt;&lt;foreign-keys&gt;&lt;key app="EN" db-id="d90vsetwrpftsqew0f8pa5d3eepftezf5xpp"&gt;11063&lt;/key&gt;&lt;/foreign-keys&gt;&lt;ref-type name="Journal Article"&gt;17&lt;/ref-type&gt;&lt;contributors&gt;&lt;authors&gt;&lt;author&gt;&lt;style face="normal" font="default" size="100%"&gt;MacWhinney, B.&lt;/style&gt;&lt;/author&gt;&lt;/authors&gt;&lt;/contributors&gt;&lt;titles&gt;&lt;title&gt;&lt;style face="normal" font="default" size="100%"&gt;Computational models of child language learning&lt;/style&gt;&lt;/title&gt;&lt;secondary-title&gt;&lt;style face="normal" font="default" size="100%"&gt;Journal of Child Language&lt;/style&gt;&lt;/secondary-title&gt;&lt;/titles&gt;&lt;periodical&gt;&lt;full-title&gt;&lt;style face="normal" font="default" size="100%"&gt;Journal of Child Language&lt;/style&gt;&lt;/full-title&gt;&lt;/periodical&gt;&lt;pages&gt;&lt;style face="normal" font="default" size="100%"&gt;477-485&lt;/style&gt;&lt;/pages&gt;&lt;volume&gt;&lt;style face="normal" font="default" size="100%"&gt;37&lt;/style&gt;&lt;/volume&gt;&lt;dates&gt;&lt;year&gt;&lt;style face="normal" font="default" size="100%"&gt;2010&lt;/style&gt;&lt;/year&gt;&lt;/dates&gt;&lt;urls/&gt;&lt;/record&gt;&lt;/Cite&gt;&lt;/EndNote&gt;</w:instrText>
      </w:r>
      <w:r>
        <w:rPr/>
        <w:fldChar w:fldCharType="separate" w:fldLock="0"/>
      </w:r>
      <w:r>
        <w:rPr>
          <w:rtl w:val="0"/>
        </w:rPr>
        <w:t>(MacWhinney, 2010)</w:t>
      </w:r>
      <w:r>
        <w:rPr/>
        <w:fldChar w:fldCharType="end" w:fldLock="0"/>
      </w:r>
      <w:r>
        <w:rPr>
          <w:rStyle w:val="Default Paragraph Font.0"/>
          <w:rtl w:val="0"/>
        </w:rPr>
        <w:t xml:space="preserve"> based on the modeling of corpus data from CHILDES illustrates the high level of analytic precision that this work is now achieving. </w:t>
      </w:r>
    </w:p>
    <w:p>
      <w:pPr>
        <w:pStyle w:val="Normal.0"/>
        <w:bidi w:val="0"/>
        <w:rPr>
          <w:rStyle w:val="Default Paragraph Font.0"/>
        </w:rPr>
      </w:pPr>
      <w:r>
        <w:rPr>
          <w:rStyle w:val="Default Paragraph Font.0"/>
          <w:rtl w:val="0"/>
        </w:rPr>
        <w:t xml:space="preserve">The developmental timeframe meshes in complex ways with processing during the ongoing interaction. </w:t>
      </w:r>
      <w:r>
        <w:rPr>
          <w:rtl w:val="0"/>
        </w:rPr>
        <w:t xml:space="preserve"> For example, a child</w:t>
      </w:r>
      <w:r>
        <w:rPr>
          <w:rtl w:val="0"/>
        </w:rPr>
        <w:t>’</w:t>
      </w:r>
      <w:r>
        <w:rPr>
          <w:rtl w:val="0"/>
        </w:rPr>
        <w:t xml:space="preserve">s failure to understand the meaning of the word </w:t>
      </w:r>
      <w:r>
        <w:rPr>
          <w:rtl w:val="0"/>
        </w:rPr>
        <w:t>“</w:t>
      </w:r>
      <w:r>
        <w:rPr>
          <w:rtl w:val="0"/>
        </w:rPr>
        <w:t>dependability</w:t>
      </w:r>
      <w:r>
        <w:rPr>
          <w:rtl w:val="0"/>
        </w:rPr>
        <w:t xml:space="preserve">” </w:t>
      </w:r>
      <w:r>
        <w:rPr>
          <w:rtl w:val="0"/>
        </w:rPr>
        <w:t xml:space="preserve">in a classroom discussion of the reliability of batteries </w:t>
      </w:r>
      <w:r>
        <w:rPr/>
        <w:fldChar w:fldCharType="begin" w:fldLock="0"/>
      </w:r>
      <w:r>
        <w:instrText xml:space="preserve"> ADDIN EN.CITE &lt;EndNote&gt;&lt;Cite  &gt;&lt;Author&gt;MacWhinney, B.&lt;/Author&gt;&lt;Year&gt;2005&lt;/Year&gt;&lt;RecNum&gt;9749&lt;/RecNum&gt;&lt;DisplayText&gt;(MacWhinney, 2005)&lt;/DisplayText&gt;&lt;record&gt;&lt;database name="allrefs.enl" path="/Files/EndNote/allrefs.enl"&gt;allrefs.enl&lt;/database&gt;&lt;source-app name="EndNote" version="14.0"&gt;EndNote&lt;/source-app&gt;&lt;rec-number&gt;9749&lt;/rec-number&gt;&lt;foreign-keys&gt;&lt;key app="EN" db-id="d90vsetwrpftsqew0f8pa5d3eepftezf5xpp"&gt;9749&lt;/key&gt;&lt;/foreign-keys&gt;&lt;ref-type name="Book Section"&gt;5&lt;/ref-type&gt;&lt;contributors&gt;&lt;authors&gt;&lt;author&gt;&lt;style face="normal" font="default" size="100%"&gt;MacWhinney, B.&lt;/style&gt;&lt;/author&gt;&lt;/authors&gt;&lt;secondary-authors&gt;&lt;author&gt;&lt;style face="normal" font="default" size="100%"&gt;Gershkoff-Stowe, L.&lt;/style&gt;&lt;/author&gt;&lt;author&gt;&lt;style face="normal" font="default" size="100%"&gt;Rakison, D.&lt;/style&gt;&lt;/author&gt;&lt;/secondary-authors&gt;&lt;/contributors&gt;&lt;titles&gt;&lt;title&gt;&lt;style face="normal" font="default" size="100%"&gt;Can our experiments illuminate reality?&lt;/style&gt;&lt;/title&gt;&lt;secondary-title&gt;&lt;style face="normal" font="default" size="100%"&gt;Building object categories in developmental time&lt;/style&gt;&lt;/secondary-title&gt;&lt;/titles&gt;&lt;pages&gt;&lt;style face="normal" font="default" size="100%"&gt;301-308&lt;/style&gt;&lt;/pages&gt;&lt;dates&gt;&lt;year&gt;&lt;style face="normal" font="default" size="100%"&gt;2005&lt;/style&gt;&lt;/year&gt;&lt;/dates&gt;&lt;pub-location&gt;&lt;style face="normal" font="default" size="100%"&gt;Mahwah, NJ&lt;/style&gt;&lt;/pub-location&gt;&lt;publisher&gt;&lt;style face="normal" font="default" size="100%"&gt;Lawrence Erlbaum Associates&lt;/style&gt;&lt;/publisher&gt;&lt;urls/&gt;&lt;/record&gt;&lt;/Cite&gt;&lt;/EndNote&gt;</w:instrText>
      </w:r>
      <w:r>
        <w:rPr/>
        <w:fldChar w:fldCharType="separate" w:fldLock="0"/>
      </w:r>
      <w:r>
        <w:rPr>
          <w:rtl w:val="0"/>
        </w:rPr>
        <w:t>(MacWhinney, 2005)</w:t>
      </w:r>
      <w:r>
        <w:rPr/>
        <w:fldChar w:fldCharType="end" w:fldLock="0"/>
      </w:r>
      <w:r>
        <w:rPr>
          <w:rtl w:val="0"/>
        </w:rPr>
        <w:t xml:space="preserve"> may be the result of problems in understanding previous classroom and computerized lessons on numerical distributions. Similarly, the failure in lexical retrieval that occurs in aphasia is driven by changes to neural tissue subsequent to a stroke. Thus on-line processing emergence can reflect the status of long-term developmental, neuronal, and physiological processes.</w:t>
      </w:r>
    </w:p>
    <w:p>
      <w:pPr>
        <w:pStyle w:val="Normal.0"/>
        <w:bidi w:val="0"/>
        <w:rPr>
          <w:rStyle w:val="Default Paragraph Font.0"/>
        </w:rPr>
      </w:pPr>
    </w:p>
    <w:p>
      <w:pPr>
        <w:pStyle w:val="Normal.0"/>
        <w:bidi w:val="0"/>
        <w:rPr>
          <w:rStyle w:val="Default Paragraph Font.0"/>
        </w:rPr>
      </w:pPr>
      <w:r>
        <w:rPr>
          <w:rStyle w:val="Default Paragraph Font.0"/>
          <w:b w:val="1"/>
          <w:bCs w:val="1"/>
          <w:rtl w:val="0"/>
          <w:lang w:val="en-US"/>
        </w:rPr>
        <w:t xml:space="preserve">The social timeframe.  </w:t>
      </w:r>
      <w:r>
        <w:rPr>
          <w:rStyle w:val="Default Paragraph Font.0"/>
          <w:rtl w:val="0"/>
        </w:rPr>
        <w:t xml:space="preserve">Many of the pressures that operate during face-to-face conversations derive from long-term social commitments. Our choice of vocabulary, slang, topics, dialect and language is determined by the status of our social relations to the people we meet. We can select particular linguistic options to emphasize solidarity </w:t>
      </w:r>
      <w:r>
        <w:rPr/>
        <w:fldChar w:fldCharType="begin" w:fldLock="0"/>
      </w:r>
      <w:r>
        <w:instrText xml:space="preserve"> ADDIN EN.CITE &lt;EndNote&gt;&lt;Cite  &gt;&lt;Author&gt;Brown, R.&lt;/Author&gt;&lt;Year&gt;1960&lt;/Year&gt;&lt;RecNum&gt;549&lt;/RecNum&gt;&lt;DisplayText&gt;(R. Brown &amp; Gilman, 1960)&lt;/DisplayText&gt;&lt;record&gt;&lt;database name="allrefs.enl" path="/Files/EndNote/allrefs.enl"&gt;allrefs.enl&lt;/database&gt;&lt;source-app name="EndNote" version="14.0"&gt;EndNote&lt;/source-app&gt;&lt;rec-number&gt;549&lt;/rec-number&gt;&lt;foreign-keys&gt;&lt;key app="EN" db-id="d90vsetwrpftsqew0f8pa5d3eepftezf5xpp"&gt;549&lt;/key&gt;&lt;/foreign-keys&gt;&lt;ref-type name="Book Section"&gt;5&lt;/ref-type&gt;&lt;contributors&gt;&lt;authors&gt;&lt;author&gt;&lt;style face="normal" font="default" size="100%"&gt;Brown, R.&lt;/style&gt;&lt;/author&gt;&lt;author&gt;&lt;style face="normal" font="default" size="100%"&gt;Gilman, A.&lt;/style&gt;&lt;/author&gt;&lt;/authors&gt;&lt;secondary-authors&gt;&lt;author&gt;&lt;style face="normal" font="default" size="100%"&gt;T. A. Sebeok&lt;/style&gt;&lt;/author&gt;&lt;/secondary-authors&gt;&lt;/contributors&gt;&lt;titles&gt;&lt;title&gt;&lt;style face="normal" font="default" size="100%"&gt;The pronouns of power and solidarity&lt;/style&gt;&lt;/title&gt;&lt;secondary-title&gt;&lt;style face="normal" font="default" size="100%"&gt;Style in language&lt;/style&gt;&lt;/secondary-title&gt;&lt;/titles&gt;&lt;dates&gt;&lt;year&gt;&lt;style face="normal" font="default" size="100%"&gt;1960&lt;/style&gt;&lt;/year&gt;&lt;/dates&gt;&lt;publisher&gt;&lt;style face="normal" font="default" size="100%"&gt;MIT Press&lt;/style&gt;&lt;/publisher&gt;&lt;urls/&gt;&lt;/record&gt;&lt;/Cite&gt;&lt;/EndNote&gt;</w:instrText>
      </w:r>
      <w:r>
        <w:rPr/>
        <w:fldChar w:fldCharType="separate" w:fldLock="0"/>
      </w:r>
      <w:r>
        <w:rPr>
          <w:rtl w:val="0"/>
        </w:rPr>
        <w:t>(R. Brown &amp; Gilman, 1960)</w:t>
      </w:r>
      <w:r>
        <w:rPr/>
        <w:fldChar w:fldCharType="end" w:fldLock="0"/>
      </w:r>
      <w:r>
        <w:rPr>
          <w:rStyle w:val="Default Paragraph Font.0"/>
          <w:rtl w:val="0"/>
        </w:rPr>
        <w:t xml:space="preserve">, impose our power, or seek favors </w:t>
      </w:r>
      <w:r>
        <w:rPr/>
        <w:fldChar w:fldCharType="begin" w:fldLock="0"/>
      </w:r>
      <w:r>
        <w:instrText xml:space="preserve"> ADDIN EN.CITE &lt;EndNote&gt;&lt;Cite  &gt;&lt;Author&gt;Brown, P.&lt;/Author&gt;&lt;Year&gt;1978&lt;/Year&gt;&lt;RecNum&gt;554&lt;/RecNum&gt;&lt;DisplayText&gt;(P. Brown &amp; Levinson, 1978)&lt;/DisplayText&gt;&lt;record&gt;&lt;database name="allrefs.enl" path="/Files/EndNote/allrefs.enl"&gt;allrefs.enl&lt;/database&gt;&lt;source-app name="EndNote" version="14.0"&gt;EndNote&lt;/source-app&gt;&lt;rec-number&gt;554&lt;/rec-number&gt;&lt;foreign-keys&gt;&lt;key app="EN" db-id="d90vsetwrpftsqew0f8pa5d3eepftezf5xpp"&gt;554&lt;/key&gt;&lt;/foreign-keys&gt;&lt;ref-type name="Book Section"&gt;5&lt;/ref-type&gt;&lt;contributors&gt;&lt;authors&gt;&lt;author&gt;&lt;style face="normal" font="default" size="100%"&gt;Brown, P.&lt;/style&gt;&lt;/author&gt;&lt;author&gt;&lt;style face="normal" font="default" size="100%"&gt;Levinson, S.&lt;/style&gt;&lt;/author&gt;&lt;/authors&gt;&lt;secondary-authors&gt;&lt;author&gt;&lt;style face="normal" font="default" size="100%"&gt;E. Goody&lt;/style&gt;&lt;/author&gt;&lt;/secondary-authors&gt;&lt;/contributors&gt;&lt;titles&gt;&lt;title&gt;&lt;style face="normal" font="default" size="100%"&gt;Universals in language usage: Politeness phenomena&lt;/style&gt;&lt;/title&gt;&lt;secondary-title&gt;&lt;style face="normal" font="default" size="100%"&gt;Questions and politeness&lt;/style&gt;&lt;/secondary-title&gt;&lt;/titles&gt;&lt;dates&gt;&lt;year&gt;&lt;style face="normal" font="default" size="100%"&gt;1978&lt;/style&gt;&lt;/year&gt;&lt;/dates&gt;&lt;pub-location&gt;&lt;style face="normal" font="default" size="100%"&gt;Cambridge&lt;/style&gt;&lt;/pub-location&gt;&lt;publisher&gt;&lt;style face="normal" font="default" size="100%"&gt;Cambridge University Press&lt;/style&gt;&lt;/publisher&gt;&lt;urls/&gt;&lt;/record&gt;&lt;/Cite&gt;&lt;/EndNote&gt;</w:instrText>
      </w:r>
      <w:r>
        <w:rPr/>
        <w:fldChar w:fldCharType="separate" w:fldLock="0"/>
      </w:r>
      <w:r>
        <w:rPr>
          <w:rtl w:val="0"/>
        </w:rPr>
        <w:t>(P. Brown &amp; Levinson, 1978)</w:t>
      </w:r>
      <w:r>
        <w:rPr/>
        <w:fldChar w:fldCharType="end" w:fldLock="0"/>
      </w:r>
      <w:r>
        <w:rPr>
          <w:rStyle w:val="Default Paragraph Font.0"/>
          <w:rtl w:val="0"/>
        </w:rPr>
        <w:t xml:space="preserve">. The time course of these social commitments is often measured in years or decades </w:t>
      </w:r>
      <w:r>
        <w:rPr/>
        <w:fldChar w:fldCharType="begin" w:fldLock="0"/>
      </w:r>
      <w:r>
        <w:instrText xml:space="preserve"> ADDIN EN.CITE &lt;EndNote&gt;&lt;Cite  &gt;&lt;Author&gt;Labov, W.&lt;/Author&gt;&lt;Year&gt;2001&lt;/Year&gt;&lt;RecNum&gt;10046&lt;/RecNum&gt;&lt;DisplayText&gt;(Labov, 2001)&lt;/DisplayText&gt;&lt;record&gt;&lt;database name="allrefs.enl" path="/Files/EndNote/allrefs.enl"&gt;allrefs.enl&lt;/database&gt;&lt;source-app name="EndNote" version="14.0"&gt;EndNote&lt;/source-app&gt;&lt;rec-number&gt;10046&lt;/rec-number&gt;&lt;foreign-keys&gt;&lt;key app="EN" db-id="d90vsetwrpftsqew0f8pa5d3eepftezf5xpp"&gt;10046&lt;/key&gt;&lt;/foreign-keys&gt;&lt;ref-type name="Book"&gt;6&lt;/ref-type&gt;&lt;contributors&gt;&lt;authors&gt;&lt;author&gt;&lt;style face="normal" font="default" size="100%"&gt;Labov, W.&lt;/style&gt;&lt;/author&gt;&lt;/authors&gt;&lt;/contributors&gt;&lt;titles&gt;&lt;title&gt;&lt;style face="normal" font="default" size="100%"&gt;Principles of linguistic change.  Vol. 2: Social considerations&lt;/style&gt;&lt;/title&gt;&lt;/titles&gt;&lt;dates&gt;&lt;year&gt;&lt;style face="normal" font="default" size="100%"&gt;2001&lt;/style&gt;&lt;/year&gt;&lt;/dates&gt;&lt;pub-location&gt;&lt;style face="normal" font="default" size="100%"&gt;London&lt;/style&gt;&lt;/pub-location&gt;&lt;publisher&gt;&lt;style face="normal" font="default" size="100%"&gt;Blackwells&lt;/style&gt;&lt;/publisher&gt;&lt;urls/&gt;&lt;/record&gt;&lt;/Cite&gt;&lt;/EndNote&gt;</w:instrText>
      </w:r>
      <w:r>
        <w:rPr/>
        <w:fldChar w:fldCharType="separate" w:fldLock="0"/>
      </w:r>
      <w:r>
        <w:rPr>
          <w:rtl w:val="0"/>
        </w:rPr>
        <w:t>(Labov, 2001)</w:t>
      </w:r>
      <w:r>
        <w:rPr/>
        <w:fldChar w:fldCharType="end" w:fldLock="0"/>
      </w:r>
      <w:r>
        <w:rPr>
          <w:rStyle w:val="Default Paragraph Font.0"/>
          <w:rtl w:val="0"/>
        </w:rPr>
        <w:t xml:space="preserve">. Some basic social commitments, including those forced by gender and race, can never be fundamentally altered.  For corpus-based analyses, what is important is being able to link the usage of linguistic forms in the moment to long-term personal characteristics, whether observed directly or measured through questionnaires and surveys.  This is the approach taken within the field of sociophonetics </w:t>
      </w:r>
      <w:r>
        <w:rPr/>
        <w:fldChar w:fldCharType="begin" w:fldLock="0"/>
      </w:r>
      <w:r>
        <w:instrText xml:space="preserve"> ADDIN EN.CITE &lt;EndNote&gt;&lt;Cite  &gt;&lt;Author&gt;Hay, J.&lt;/Author&gt;&lt;Year&gt;2007&lt;/Year&gt;&lt;RecNum&gt;11114&lt;/RecNum&gt;&lt;DisplayText&gt;(Hay &amp; Drager, 2007)&lt;/DisplayText&gt;&lt;record&gt;&lt;database name="allrefs.enl" path="/Files/EndNote/allrefs.enl"&gt;allrefs.enl&lt;/database&gt;&lt;source-app name="EndNote" version="14.0"&gt;EndNote&lt;/source-app&gt;&lt;rec-number&gt;11114&lt;/rec-number&gt;&lt;foreign-keys&gt;&lt;key app="EN" db-id="d90vsetwrpftsqew0f8pa5d3eepftezf5xpp"&gt;11114&lt;/key&gt;&lt;/foreign-keys&gt;&lt;ref-type name="Journal Article"&gt;17&lt;/ref-type&gt;&lt;contributors&gt;&lt;authors&gt;&lt;author&gt;&lt;style face="normal" font="default" size="100%"&gt;Hay, J.&lt;/style&gt;&lt;/author&gt;&lt;author&gt;&lt;style face="normal" font="default" size="100%"&gt;Drager, K.&lt;/style&gt;&lt;/author&gt;&lt;/authors&gt;&lt;/contributors&gt;&lt;titles&gt;&lt;title&gt;&lt;style face="normal" font="default" size="100%"&gt;Sociophonetics&lt;/style&gt;&lt;/title&gt;&lt;secondary-title&gt;&lt;style face="normal" font="default" size="100%"&gt;Annual Review of Anthropology&lt;/style&gt;&lt;/secondary-title&gt;&lt;/titles&gt;&lt;periodical&gt;&lt;full-title&gt;&lt;style face="normal" font="default" size="100%"&gt;Annual Review of Anthropology&lt;/style&gt;&lt;/full-title&gt;&lt;/periodical&gt;&lt;pages&gt;&lt;style face="normal" font="default" size="100%"&gt;89-103&lt;/style&gt;&lt;/pages&gt;&lt;volume&gt;&lt;style face="normal" font="default" size="100%"&gt;36&lt;/style&gt;&lt;/volume&gt;&lt;dates&gt;&lt;year&gt;&lt;style face="normal" font="default" size="100%"&gt;2007&lt;/style&gt;&lt;/year&gt;&lt;/dates&gt;&lt;urls/&gt;&lt;/record&gt;&lt;/Cite&gt;&lt;/EndNote&gt;</w:instrText>
      </w:r>
      <w:r>
        <w:rPr/>
        <w:fldChar w:fldCharType="separate" w:fldLock="0"/>
      </w:r>
      <w:r>
        <w:rPr>
          <w:rtl w:val="0"/>
        </w:rPr>
        <w:t>(Hay &amp; Drager, 2007)</w:t>
      </w:r>
      <w:r>
        <w:rPr/>
        <w:fldChar w:fldCharType="end" w:fldLock="0"/>
      </w:r>
      <w:r>
        <w:rPr>
          <w:rStyle w:val="Default Paragraph Font.0"/>
          <w:rtl w:val="0"/>
        </w:rPr>
        <w:t xml:space="preserve"> which studies the meshing of long-term social indicators with output processing in the moment.  To make corpora maximally useful for such studies, we need both good tools for phonetic analysis and systematic coding of the relevant social variables. To  achieve this we have been working to configure tools such as Praat (praat.uva.nl), Phon (talkbank.org/phon), and CLAN (talkbank.org/clan) to integrate the phonetic and sociolinguistic aspects of these analyses.</w:t>
      </w:r>
    </w:p>
    <w:p>
      <w:pPr>
        <w:pStyle w:val="Normal.0"/>
        <w:bidi w:val="0"/>
        <w:rPr>
          <w:rStyle w:val="Default Paragraph Font.0"/>
        </w:rPr>
      </w:pPr>
    </w:p>
    <w:p>
      <w:pPr>
        <w:pStyle w:val="Normal.0"/>
        <w:bidi w:val="0"/>
        <w:rPr>
          <w:rStyle w:val="Default Paragraph Font.0"/>
        </w:rPr>
      </w:pPr>
      <w:r>
        <w:rPr>
          <w:rStyle w:val="Default Paragraph Font.0"/>
          <w:b w:val="1"/>
          <w:bCs w:val="1"/>
          <w:rtl w:val="0"/>
          <w:lang w:val="en-US"/>
        </w:rPr>
        <w:t xml:space="preserve">The epigenetic timeframe. </w:t>
      </w:r>
      <w:r>
        <w:rPr>
          <w:rStyle w:val="Default Paragraph Font.0"/>
          <w:rtl w:val="0"/>
        </w:rPr>
        <w:t xml:space="preserve">DNA lays out framework that governs the epigenesis </w:t>
      </w:r>
      <w:r>
        <w:rPr/>
        <w:fldChar w:fldCharType="begin" w:fldLock="0"/>
      </w:r>
      <w:r>
        <w:instrText xml:space="preserve"> ADDIN EN.CITE &lt;EndNote&gt;&lt;Cite  &gt;&lt;Author&gt;Waddington, C. H.&lt;/Author&gt;&lt;Year&gt;1957&lt;/Year&gt;&lt;RecNum&gt;4274&lt;/RecNum&gt;&lt;DisplayText&gt;(Waddington, 1957)&lt;/DisplayText&gt;&lt;record&gt;&lt;database name="allrefs.enl" path="/Files/EndNote/allrefs.enl"&gt;allrefs.enl&lt;/database&gt;&lt;source-app name="EndNote" version="14.0"&gt;EndNote&lt;/source-app&gt;&lt;rec-number&gt;4274&lt;/rec-number&gt;&lt;foreign-keys&gt;&lt;key app="EN" db-id="d90vsetwrpftsqew0f8pa5d3eepftezf5xpp"&gt;4274&lt;/key&gt;&lt;/foreign-keys&gt;&lt;ref-type name="Book"&gt;6&lt;/ref-type&gt;&lt;contributors&gt;&lt;authors&gt;&lt;author&gt;&lt;style face="normal" font="default" size="100%"&gt;Waddington, C. H.&lt;/style&gt;&lt;/author&gt;&lt;/authors&gt;&lt;/contributors&gt;&lt;titles&gt;&lt;title&gt;&lt;style face="normal" font="default" size="100%"&gt;The strategy of the genes&lt;/style&gt;&lt;/title&gt;&lt;/titles&gt;&lt;dates&gt;&lt;year&gt;&lt;style face="normal" font="default" size="100%"&gt;1957&lt;/style&gt;&lt;/year&gt;&lt;/dates&gt;&lt;pub-location&gt;&lt;style face="normal" font="default" size="100%"&gt;New York&lt;/style&gt;&lt;/pub-location&gt;&lt;publisher&gt;&lt;style face="normal" font="default" size="100%"&gt;MacMillan&lt;/style&gt;&lt;/publisher&gt;&lt;abstract&gt;&lt;style face="normal" font="default" size="100%"&gt;book&lt;/style&gt;&lt;/abstract&gt;&lt;urls/&gt;&lt;/record&gt;&lt;/Cite&gt;&lt;/EndNote&gt;</w:instrText>
      </w:r>
      <w:r>
        <w:rPr/>
        <w:fldChar w:fldCharType="separate" w:fldLock="0"/>
      </w:r>
      <w:r>
        <w:rPr>
          <w:rtl w:val="0"/>
        </w:rPr>
        <w:t>(Waddington, 1957)</w:t>
      </w:r>
      <w:r>
        <w:rPr/>
        <w:fldChar w:fldCharType="end" w:fldLock="0"/>
      </w:r>
      <w:r>
        <w:rPr>
          <w:rStyle w:val="Default Paragraph Font.0"/>
          <w:rtl w:val="0"/>
        </w:rPr>
        <w:t xml:space="preserve"> of the embryo and the infant. However, this is an emergent framework, rather than a detailed blueprint.  Embryologists have shown how biological structures emerge from processes of induction between developing tissue structures in the embryo in cascading waves of catalytic processes </w:t>
      </w:r>
      <w:r>
        <w:rPr/>
        <w:fldChar w:fldCharType="begin" w:fldLock="0"/>
      </w:r>
      <w:r>
        <w:instrText xml:space="preserve"> ADDIN EN.CITE &lt;EndNote&gt;&lt;Cite  &gt;&lt;Author&gt;Goodenough, U.&lt;/Author&gt;&lt;Year&gt;2006&lt;/Year&gt;&lt;RecNum&gt;11115&lt;/RecNum&gt;&lt;DisplayText&gt;(Goodenough &amp; Deacon, 2006)&lt;/DisplayText&gt;&lt;record&gt;&lt;database name="allrefs.enl" path="/Files/EndNote/allrefs.enl"&gt;allrefs.enl&lt;/database&gt;&lt;source-app name="EndNote" version="14.0"&gt;EndNote&lt;/source-app&gt;&lt;rec-number&gt;11115&lt;/rec-number&gt;&lt;foreign-keys&gt;&lt;key app="EN" db-id="d90vsetwrpftsqew0f8pa5d3eepftezf5xpp"&gt;11115&lt;/key&gt;&lt;/foreign-keys&gt;&lt;ref-type name="Book Section"&gt;5&lt;/ref-type&gt;&lt;contributors&gt;&lt;authors&gt;&lt;author&gt;&lt;style face="normal" font="default" size="100%"&gt;Goodenough, U.&lt;/style&gt;&lt;/author&gt;&lt;author&gt;&lt;style face="normal" font="default" size="100%"&gt;Deacon, T.&lt;/style&gt;&lt;/author&gt;&lt;/authors&gt;&lt;/contributors&gt;&lt;titles&gt;&lt;title&gt;&lt;style face="normal" font="default" size="100%"&gt;The sacred emergence of nature&lt;/style&gt;&lt;/title&gt;&lt;secondary-title&gt;&lt;style face="normal" font="default" size="100%"&gt;The Oxford Handbook of Religion and Science&lt;/style&gt;&lt;/secondary-title&gt;&lt;/titles&gt;&lt;pages&gt;&lt;style face="normal" font="default" size="100%"&gt;853-872&lt;/style&gt;&lt;/pages&gt;&lt;dates&gt;&lt;year&gt;&lt;style face="normal" font="default" size="100%"&gt;2006&lt;/style&gt;&lt;/year&gt;&lt;/dates&gt;&lt;pub-location&gt;&lt;style face="normal" font="default" size="100%"&gt;Oxford&lt;/style&gt;&lt;/pub-location&gt;&lt;publisher&gt;&lt;style face="normal" font="default" size="100%"&gt;Oxford University Press&lt;/style&gt;&lt;/publisher&gt;&lt;urls/&gt;&lt;/record&gt;&lt;/Cite&gt;&lt;/EndNote&gt;</w:instrText>
      </w:r>
      <w:r>
        <w:rPr/>
        <w:fldChar w:fldCharType="separate" w:fldLock="0"/>
      </w:r>
      <w:r>
        <w:rPr>
          <w:rtl w:val="0"/>
        </w:rPr>
        <w:t>(Goodenough &amp; Deacon, 2006)</w:t>
      </w:r>
      <w:r>
        <w:rPr/>
        <w:fldChar w:fldCharType="end" w:fldLock="0"/>
      </w:r>
      <w:r>
        <w:rPr>
          <w:rStyle w:val="Default Paragraph Font.0"/>
          <w:rtl w:val="0"/>
        </w:rPr>
        <w:t xml:space="preserve">. The shape of these interactions is not hard-coded in the DNA. Instead, the DNA encodes information that can push the process of differentiation in particular directions at crucial epigenetic choice points. The precursors of autism in the embryo can be traced to particular epigenetic effects, as can the formation of stripes in the tiger. Epigenetic emergence does not cease at birth. To the degree that the brain maintains a level of plasticity, epigenetic processes allow for recovery of function after stroke through rewiring and reorganization. Before birth, epigenetic interactions with the environment are confined to forces that impinge on the uterus and the embryonic fluid. After birth, the environment can trigger a wide variety of variations in gene expression from diabetes to brain reorganization for language in the deaf </w:t>
      </w:r>
      <w:r>
        <w:rPr/>
        <w:fldChar w:fldCharType="begin" w:fldLock="0"/>
      </w:r>
      <w:r>
        <w:instrText xml:space="preserve"> ADDIN EN.CITE &lt;EndNote&gt;&lt;Cite  &gt;&lt;Author&gt;Bellugi, U.&lt;/Author&gt;&lt;Year&gt;1989&lt;/Year&gt;&lt;RecNum&gt;6030&lt;/RecNum&gt;&lt;DisplayText&gt;(Bellugi, Poizner, &amp; Klima, 1989)&lt;/DisplayText&gt;&lt;record&gt;&lt;database name="allrefs.enl" path="/Files/EndNote/allrefs.enl"&gt;allrefs.enl&lt;/database&gt;&lt;source-app name="EndNote" version="14.0"&gt;EndNote&lt;/source-app&gt;&lt;rec-number&gt;6030&lt;/rec-number&gt;&lt;foreign-keys&gt;&lt;key app="EN" db-id="d90vsetwrpftsqew0f8pa5d3eepftezf5xpp"&gt;6030&lt;/key&gt;&lt;/foreign-keys&gt;&lt;ref-type name="Journal Article"&gt;17&lt;/ref-type&gt;&lt;contributors&gt;&lt;authors&gt;&lt;author&gt;&lt;style face="normal" font="default" size="100%"&gt;Bellugi, U.&lt;/style&gt;&lt;/author&gt;&lt;author&gt;&lt;style face="normal" font="default" size="100%"&gt;Poizner, H.&lt;/style&gt;&lt;/author&gt;&lt;author&gt;&lt;style face="normal" font="default" size="100%"&gt;Klima, E. S.&lt;/style&gt;&lt;/author&gt;&lt;/authors&gt;&lt;/contributors&gt;&lt;titles&gt;&lt;title&gt;&lt;style face="normal" font="default" size="100%"&gt;Language, modality and the brain&lt;/style&gt;&lt;/title&gt;&lt;secondary-title&gt;&lt;style face="normal" font="default" size="100%"&gt;Trends in Neuroscience&lt;/style&gt;&lt;/secondary-title&gt;&lt;alt-title&gt;&lt;style face="normal" font="default" size="100%"&gt;Trends in Neurosciences&lt;/style&gt;&lt;/alt-title&gt;&lt;/titles&gt;&lt;pages&gt;&lt;style face="normal" font="default" size="100%"&gt;380-388&lt;/style&gt;&lt;/pages&gt;&lt;volume&gt;&lt;style face="normal" font="default" size="100%"&gt;12&lt;/style&gt;&lt;/volume&gt;&lt;number&gt;&lt;style face="normal" font="default" size="100%"&gt;10&lt;/style&gt;&lt;/number&gt;&lt;keywords&gt;&lt;keyword&gt;&lt;style face="normal" font="default" size="100%"&gt;FOCAL&lt;/style&gt;&lt;/keyword&gt;&lt;keyword&gt;&lt;style face="normal" font="default" size="100%"&gt;SIGN-LANGUAGE&lt;/style&gt;&lt;/keyword&gt;&lt;keyword&gt;&lt;style face="normal" font="default" size="100%"&gt;LATERAL-DOMINANCE&lt;/style&gt;&lt;/keyword&gt;&lt;keyword&gt;&lt;style face="normal" font="default" size="100%"&gt;BRAIN-&lt;/style&gt;&lt;/keyword&gt;&lt;keyword&gt;&lt;style face="normal" font="default" size="100%"&gt;DEAF-&lt;/style&gt;&lt;/keyword&gt;&lt;keyword&gt;&lt;style face="normal" font="default" size="100%"&gt;BRAIN-DAMAGED&lt;/style&gt;&lt;/keyword&gt;&lt;keyword&gt;&lt;style face="normal" font="default" size="100%"&gt;AURALLY-HANDICAPPED&lt;/style&gt;&lt;/keyword&gt;&lt;keyword&gt;&lt;style face="normal" font="default" size="100%"&gt;ADULTHOOD-&lt;/style&gt;&lt;/keyword&gt;&lt;/keywords&gt;&lt;dates&gt;&lt;year&gt;&lt;style face="normal" font="default" size="100%"&gt;1989&lt;/style&gt;&lt;/year&gt;&lt;/dates&gt;&lt;abstract&gt;&lt;style face="normal" font="default" size="100%"&gt;Reviews studies that investigate language, its formal architecture, and its representation in the brain by analyzing visuospatial languages (e.g., American Sign Language) passed down from one generation of deaf people to the next. Studies suggest that the left hemisphere may have an innate predisposition for language, regardless of the modality. Sign language breakdown in deaf signers may illuminate the fundamental principles of underlying hemispheric specialization. (PsycLIT Database Copyright 1990 American Psychological Assn, all rights reserved)&lt;/style&gt;&lt;/abstract&gt;&lt;notes&gt;&lt;style face="normal" font="default" size="100%"&gt;Oct&lt;/style&gt;&lt;/notes&gt;&lt;urls/&gt;&lt;/record&gt;&lt;/Cite&gt;&lt;/EndNote&gt;</w:instrText>
      </w:r>
      <w:r>
        <w:rPr/>
        <w:fldChar w:fldCharType="separate" w:fldLock="0"/>
      </w:r>
      <w:r>
        <w:rPr>
          <w:rtl w:val="0"/>
        </w:rPr>
        <w:t>(Bellugi, Poizner, &amp; Klima, 1989)</w:t>
      </w:r>
      <w:r>
        <w:rPr/>
        <w:fldChar w:fldCharType="end" w:fldLock="0"/>
      </w:r>
      <w:r>
        <w:rPr>
          <w:rStyle w:val="Default Paragraph Font.0"/>
          <w:rtl w:val="0"/>
        </w:rPr>
        <w:t xml:space="preserve">.  As long as the child remains in the womb, few of these processes are relevant to work in linguistics.  However, once the infant begins vocalizations and babbling, there is a great deal that can be studied through corpus-based methods, as recently codified in the context of the Phon Project (talkbank.org/phon) organized by Yvan Rose at Memorial University </w:t>
      </w:r>
      <w:r>
        <w:rPr/>
        <w:fldChar w:fldCharType="begin" w:fldLock="0"/>
      </w:r>
      <w:r>
        <w:instrText xml:space="preserve"> ADDIN EN.CITE &lt;EndNote&gt;&lt;Cite  &gt;&lt;Author&gt;Rose, Y.&lt;/Author&gt;&lt;Year&gt;in press&lt;/Year&gt;&lt;RecNum&gt;11035&lt;/RecNum&gt;&lt;DisplayText&gt;(Rose &amp; MacWhinney, in press)&lt;/DisplayText&gt;&lt;record&gt;&lt;database name="allrefs.enl" path="/Files/EndNote/allrefs.enl"&gt;allrefs.enl&lt;/database&gt;&lt;source-app name="EndNote" version="14.0"&gt;EndNote&lt;/source-app&gt;&lt;rec-number&gt;11035&lt;/rec-number&gt;&lt;foreign-keys&gt;&lt;key app="EN" db-id="d90vsetwrpftsqew0f8pa5d3eepftezf5xpp"&gt;11035&lt;/key&gt;&lt;/foreign-keys&gt;&lt;ref-type name="Book Section"&gt;5&lt;/ref-type&gt;&lt;contributors&gt;&lt;authors&gt;&lt;author&gt;&lt;style face="normal" font="default" size="100%"&gt;Rose, Y.&lt;/style&gt;&lt;/author&gt;&lt;author&gt;&lt;style face="normal" font="default" size="100%"&gt;MacWhinney, B&lt;/style&gt;&lt;/author&gt;&lt;/authors&gt;&lt;/contributors&gt;&lt;titles&gt;&lt;title&gt;&lt;style face="normal" font="default" size="100%"&gt;The Phon and PhonBank initiatives&lt;/style&gt;&lt;/title&gt;&lt;/titles&gt;&lt;dates&gt;&lt;year&gt;&lt;style face="normal" font="default" size="100%"&gt;in press&lt;/style&gt;&lt;/year&gt;&lt;/dates&gt;&lt;urls/&gt;&lt;/record&gt;&lt;/Cite&gt;&lt;/EndNote&gt;</w:instrText>
      </w:r>
      <w:r>
        <w:rPr/>
        <w:fldChar w:fldCharType="separate" w:fldLock="0"/>
      </w:r>
      <w:r>
        <w:rPr>
          <w:rtl w:val="0"/>
        </w:rPr>
        <w:t>(Rose &amp; MacWhinney, in press)</w:t>
      </w:r>
      <w:r>
        <w:rPr/>
        <w:fldChar w:fldCharType="end" w:fldLock="0"/>
      </w:r>
      <w:r>
        <w:rPr>
          <w:rStyle w:val="Default Paragraph Font.0"/>
          <w:rtl w:val="0"/>
        </w:rPr>
        <w:t>.</w:t>
      </w:r>
    </w:p>
    <w:p>
      <w:pPr>
        <w:pStyle w:val="Normal.0"/>
        <w:bidi w:val="0"/>
        <w:rPr>
          <w:rStyle w:val="Default Paragraph Font.0"/>
        </w:rPr>
      </w:pPr>
    </w:p>
    <w:p>
      <w:pPr>
        <w:pStyle w:val="Normal.0"/>
        <w:bidi w:val="0"/>
        <w:rPr>
          <w:rStyle w:val="Default Paragraph Font.0"/>
        </w:rPr>
      </w:pPr>
      <w:r>
        <w:rPr>
          <w:rStyle w:val="Default Paragraph Font.0"/>
          <w:b w:val="1"/>
          <w:bCs w:val="1"/>
          <w:rtl w:val="0"/>
          <w:lang w:val="en-US"/>
        </w:rPr>
        <w:t>The diachronic timeframe.</w:t>
      </w:r>
      <w:r>
        <w:rPr>
          <w:rStyle w:val="Default Paragraph Font.0"/>
          <w:rtl w:val="0"/>
        </w:rPr>
        <w:t xml:space="preserve"> We can also use emergentist thinking to understand the changes that languages have undergone across the centuries </w:t>
      </w:r>
      <w:r>
        <w:rPr/>
        <w:fldChar w:fldCharType="begin" w:fldLock="0"/>
      </w:r>
      <w:r>
        <w:instrText xml:space="preserve"> ADDIN EN.CITE &lt;EndNote&gt;&lt;Cite  &gt;&lt;Author&gt;Bybee, J.&lt;/Author&gt;&lt;Year&gt;2001&lt;/Year&gt;&lt;RecNum&gt;9518&lt;/RecNum&gt;&lt;DisplayText&gt;(Bybee &amp; Hopper, 2001)&lt;/DisplayText&gt;&lt;record&gt;&lt;database name="allrefs.enl" path="/Files/EndNote/allrefs.enl"&gt;allrefs.enl&lt;/database&gt;&lt;source-app name="EndNote" version="14.0"&gt;EndNote&lt;/source-app&gt;&lt;rec-number&gt;9518&lt;/rec-number&gt;&lt;foreign-keys&gt;&lt;key app="EN" db-id="d90vsetwrpftsqew0f8pa5d3eepftezf5xpp"&gt;9518&lt;/key&gt;&lt;/foreign-keys&gt;&lt;ref-type name="Book"&gt;6&lt;/ref-type&gt;&lt;contributors&gt;&lt;authors&gt;&lt;author&gt;&lt;style face="normal" font="default" size="100%"&gt;Bybee, J.&lt;/style&gt;&lt;/author&gt;&lt;author&gt;&lt;style face="normal" font="default" size="100%"&gt;Hopper, P.&lt;/style&gt;&lt;/author&gt;&lt;/authors&gt;&lt;/contributors&gt;&lt;titles&gt;&lt;title&gt;&lt;style face="normal" font="default" size="100%"&gt;Frequency and the emergence of linguistic structure&lt;/style&gt;&lt;/title&gt;&lt;/titles&gt;&lt;dates&gt;&lt;year&gt;&lt;style face="normal" font="default" size="100%"&gt;2001&lt;/style&gt;&lt;/year&gt;&lt;/dates&gt;&lt;pub-location&gt;&lt;style face="normal" font="default" size="100%"&gt;Amsterdam&lt;/style&gt;&lt;/pub-location&gt;&lt;publisher&gt;&lt;style face="normal" font="default" size="100%"&gt;John Benjamins&lt;/style&gt;&lt;/publisher&gt;&lt;urls/&gt;&lt;/record&gt;&lt;/Cite&gt;&lt;/EndNote&gt;</w:instrText>
      </w:r>
      <w:r>
        <w:rPr/>
        <w:fldChar w:fldCharType="separate" w:fldLock="0"/>
      </w:r>
      <w:r>
        <w:rPr>
          <w:rtl w:val="0"/>
        </w:rPr>
        <w:t>(Bybee &amp; Hopper, 2001)</w:t>
      </w:r>
      <w:r>
        <w:rPr/>
        <w:fldChar w:fldCharType="end" w:fldLock="0"/>
      </w:r>
      <w:r>
        <w:rPr>
          <w:rStyle w:val="Default Paragraph Font.0"/>
          <w:rtl w:val="0"/>
        </w:rPr>
        <w:t xml:space="preserve">.  Typically, these changes are viewed as resulting from the fast speech processing simplifications or morphological overregularizations.  It is the cumulative effect of these myriad short-term effects that drive the long-term changes. However, the distribution of these processes is not necessarily uniform.  For example, Labov </w:t>
      </w:r>
      <w:r>
        <w:rPr/>
        <w:fldChar w:fldCharType="begin" w:fldLock="0"/>
      </w:r>
      <w:r>
        <w:instrText xml:space="preserve"> ADDIN EN.CITE &lt;EndNote&gt;&lt;Cite ExcludeAuth="1" &gt;&lt;Author&gt;Labov, W.&lt;/Author&gt;&lt;Year&gt;2001&lt;/Year&gt;&lt;RecNum&gt;10046&lt;/RecNum&gt;&lt;DisplayText&gt;(2001)&lt;/DisplayText&gt;&lt;record&gt;&lt;database name="allrefs.enl" path="/Files/EndNote/allrefs.enl"&gt;allrefs.enl&lt;/database&gt;&lt;source-app name="EndNote" version="14.0"&gt;EndNote&lt;/source-app&gt;&lt;rec-number&gt;10046&lt;/rec-number&gt;&lt;foreign-keys&gt;&lt;key app="EN" db-id="d90vsetwrpftsqew0f8pa5d3eepftezf5xpp"&gt;10046&lt;/key&gt;&lt;/foreign-keys&gt;&lt;ref-type name="Book"&gt;6&lt;/ref-type&gt;&lt;contributors&gt;&lt;authors&gt;&lt;author&gt;&lt;style face="normal" font="default" size="100%"&gt;Labov, W.&lt;/style&gt;&lt;/author&gt;&lt;/authors&gt;&lt;/contributors&gt;&lt;titles&gt;&lt;title&gt;&lt;style face="normal" font="default" size="100%"&gt;Principles of linguistic change.  Vol. 2: Social considerations&lt;/style&gt;&lt;/title&gt;&lt;/titles&gt;&lt;dates&gt;&lt;year&gt;&lt;style face="normal" font="default" size="100%"&gt;2001&lt;/style&gt;&lt;/year&gt;&lt;/dates&gt;&lt;pub-location&gt;&lt;style face="normal" font="default" size="100%"&gt;London&lt;/style&gt;&lt;/pub-location&gt;&lt;publisher&gt;&lt;style face="normal" font="default" size="100%"&gt;Blackwells&lt;/style&gt;&lt;/publisher&gt;&lt;urls/&gt;&lt;/record&gt;&lt;/Cite&gt;&lt;/EndNote&gt;</w:instrText>
      </w:r>
      <w:r>
        <w:rPr/>
        <w:fldChar w:fldCharType="separate" w:fldLock="0"/>
      </w:r>
      <w:r>
        <w:rPr>
          <w:rtl w:val="0"/>
        </w:rPr>
        <w:t>(2001)</w:t>
      </w:r>
      <w:r>
        <w:rPr/>
        <w:fldChar w:fldCharType="end" w:fldLock="0"/>
      </w:r>
      <w:r>
        <w:rPr>
          <w:rStyle w:val="Default Paragraph Font.0"/>
          <w:rtl w:val="0"/>
        </w:rPr>
        <w:t xml:space="preserve"> notes that teenage males are particularly involved in the generation of new speech patterns.  To understand this better, we need to collect corpora that capture the variation in the speech forms produced by these highly active groups.</w:t>
      </w:r>
    </w:p>
    <w:p>
      <w:pPr>
        <w:pStyle w:val="Normal.0"/>
        <w:bidi w:val="0"/>
        <w:rPr>
          <w:rStyle w:val="Default Paragraph Font.0"/>
        </w:rPr>
      </w:pPr>
    </w:p>
    <w:p>
      <w:pPr>
        <w:pStyle w:val="Normal.0"/>
        <w:bidi w:val="0"/>
        <w:rPr>
          <w:rStyle w:val="Default Paragraph Font.0"/>
        </w:rPr>
      </w:pPr>
      <w:r>
        <w:rPr>
          <w:rStyle w:val="Default Paragraph Font.0"/>
          <w:b w:val="1"/>
          <w:bCs w:val="1"/>
          <w:rtl w:val="0"/>
          <w:lang w:val="en-US"/>
        </w:rPr>
        <w:t xml:space="preserve">The phylogenetic timeframe. </w:t>
      </w:r>
      <w:r>
        <w:rPr>
          <w:rStyle w:val="Default Paragraph Font.0"/>
          <w:rtl w:val="0"/>
        </w:rPr>
        <w:t xml:space="preserve">The slowest moving emergent structures are those that are encoded in the genes. Changes across this timeframe </w:t>
      </w:r>
      <w:r>
        <w:rPr>
          <w:rStyle w:val="Default Paragraph Font.0"/>
          <w:rtl w:val="0"/>
        </w:rPr>
        <w:t xml:space="preserve">– </w:t>
      </w:r>
      <w:r>
        <w:rPr>
          <w:rStyle w:val="Default Paragraph Font.0"/>
          <w:rtl w:val="0"/>
        </w:rPr>
        <w:t xml:space="preserve">which involves millennia rather than minutes </w:t>
      </w:r>
      <w:r>
        <w:rPr>
          <w:rStyle w:val="Default Paragraph Font.0"/>
          <w:rtl w:val="0"/>
        </w:rPr>
        <w:t xml:space="preserve">– </w:t>
      </w:r>
      <w:r>
        <w:rPr>
          <w:rStyle w:val="Default Paragraph Font.0"/>
          <w:rtl w:val="0"/>
        </w:rPr>
        <w:t xml:space="preserve">are controlled by natural selection </w:t>
      </w:r>
      <w:r>
        <w:rPr/>
        <w:fldChar w:fldCharType="begin" w:fldLock="0"/>
      </w:r>
      <w:r>
        <w:instrText xml:space="preserve"> ADDIN EN.CITE &lt;EndNote&gt;&lt;Cite  &gt;&lt;Author&gt;Darwin, C.&lt;/Author&gt;&lt;Year&gt;1871&lt;/Year&gt;&lt;RecNum&gt;10120&lt;/RecNum&gt;&lt;DisplayText&gt;(Darwin, 1871)&lt;/DisplayText&gt;&lt;record&gt;&lt;database name="allrefs.enl" path="/Files/EndNote/allrefs.enl"&gt;allrefs.enl&lt;/database&gt;&lt;source-app name="EndNote" version="14.0"&gt;EndNote&lt;/source-app&gt;&lt;rec-number&gt;10120&lt;/rec-number&gt;&lt;foreign-keys&gt;&lt;key app="EN" db-id="d90vsetwrpftsqew0f8pa5d3eepftezf5xpp"&gt;10120&lt;/key&gt;&lt;/foreign-keys&gt;&lt;ref-type name="Book"&gt;6&lt;/ref-type&gt;&lt;contributors&gt;&lt;authors&gt;&lt;author&gt;&lt;style face="normal" font="default" size="100%"&gt;Darwin, C.&lt;/style&gt;&lt;/author&gt;&lt;/authors&gt;&lt;/contributors&gt;&lt;titles&gt;&lt;title&gt;&lt;style face="normal" font="default" size="100%"&gt;The descent of man and selecton in relation to sex&lt;/style&gt;&lt;/title&gt;&lt;/titles&gt;&lt;dates&gt;&lt;year&gt;&lt;style face="normal" font="default" size="100%"&gt;1871&lt;/style&gt;&lt;/year&gt;&lt;/dates&gt;&lt;pub-location&gt;&lt;style face="normal" font="default" size="100%"&gt;London&lt;/style&gt;&lt;/pub-location&gt;&lt;publisher&gt;&lt;style face="normal" font="default" size="100%"&gt;John Murray&lt;/style&gt;&lt;/publisher&gt;&lt;urls/&gt;&lt;/record&gt;&lt;/Cite&gt;&lt;/EndNote&gt;</w:instrText>
      </w:r>
      <w:r>
        <w:rPr/>
        <w:fldChar w:fldCharType="separate" w:fldLock="0"/>
      </w:r>
      <w:r>
        <w:rPr>
          <w:rtl w:val="0"/>
        </w:rPr>
        <w:t>(Darwin, 1871)</w:t>
      </w:r>
      <w:r>
        <w:rPr/>
        <w:fldChar w:fldCharType="end" w:fldLock="0"/>
      </w:r>
      <w:r>
        <w:rPr>
          <w:rStyle w:val="Default Paragraph Font.0"/>
          <w:rtl w:val="0"/>
        </w:rPr>
        <w:t xml:space="preserve">. The core engine of emergence is the generation of variation through mutation, followed then by natural selection through both mate choice and differential mortality. Natural selection utilizes the possibilities for reorganization shaped by the DNA and the interactions of polypeptides that it specifies. The unevenness of this underlying landscape makes some mutations more probable and frequent than others, leading to a reliance on the reuse of old forms to serve new functions. Emergentist accounts in this area have emphasized the ways in which language, society, and cognition have undergone coevolution </w:t>
      </w:r>
      <w:r>
        <w:rPr/>
        <w:fldChar w:fldCharType="begin" w:fldLock="0"/>
      </w:r>
      <w:r>
        <w:instrText xml:space="preserve"> ADDIN EN.CITE &lt;EndNote&gt;&lt;Cite  &gt;&lt;Author&gt;MacWhinney, B.&lt;/Author&gt;&lt;Year&gt;2008&lt;/Year&gt;&lt;RecNum&gt;10355&lt;/RecNum&gt;&lt;DisplayText&gt;(MacWhinney, 2008a)&lt;/DisplayText&gt;&lt;record&gt;&lt;database name="allrefs.enl" path="/Files/EndNote/allrefs.enl"&gt;allrefs.enl&lt;/database&gt;&lt;source-app name="EndNote" version="14.0"&gt;EndNote&lt;/source-app&gt;&lt;rec-number&gt;10355&lt;/rec-number&gt;&lt;foreign-keys&gt;&lt;key app="EN" db-id="d90vsetwrpftsqew0f8pa5d3eepftezf5xpp"&gt;10355&lt;/key&gt;&lt;/foreign-keys&gt;&lt;ref-type name="Book Section"&gt;5&lt;/ref-type&gt;&lt;contributors&gt;&lt;authors&gt;&lt;author&gt;&lt;style face="normal" font="default" size="100%"&gt;MacWhinney, B.&lt;/style&gt;&lt;/author&gt;&lt;/authors&gt;&lt;secondary-authors&gt;&lt;author&gt;&lt;style face="normal" font="default" size="100%"&gt;Oller, K.&lt;/style&gt;&lt;/author&gt;&lt;author&gt;&lt;style face="normal" font="default" size="100%"&gt;Griebel, U.&lt;/style&gt;&lt;/author&gt;&lt;/secondary-authors&gt;&lt;/contributors&gt;&lt;titles&gt;&lt;title&gt;&lt;style face="normal" font="default" size="100%"&gt;Cognitive precursors to language&lt;/style&gt;&lt;/title&gt;&lt;secondary-title&gt;&lt;style face="normal" font="default" size="100%"&gt;The evolution of communicative flexibility&lt;/style&gt;&lt;/secondary-title&gt;&lt;/titles&gt;&lt;pages&gt;&lt;style face="normal" font="default" size="100%"&gt;193-214&lt;/style&gt;&lt;/pages&gt;&lt;dates&gt;&lt;year&gt;&lt;style face="normal" font="default" size="100%"&gt;2008&lt;/style&gt;&lt;/year&gt;&lt;/dates&gt;&lt;pub-location&gt;&lt;style face="normal" font="default" size="100%"&gt;Cambridge, MA&lt;/style&gt;&lt;/pub-location&gt;&lt;publisher&gt;&lt;style face="normal" font="default" size="100%"&gt;MIT Press&lt;/style&gt;&lt;/publisher&gt;&lt;urls/&gt;&lt;/record&gt;&lt;/Cite&gt;&lt;/EndNote&gt;</w:instrText>
      </w:r>
      <w:r>
        <w:rPr/>
        <w:fldChar w:fldCharType="separate" w:fldLock="0"/>
      </w:r>
      <w:r>
        <w:rPr>
          <w:rtl w:val="0"/>
        </w:rPr>
        <w:t>(MacWhinney, 2008a)</w:t>
      </w:r>
      <w:r>
        <w:rPr/>
        <w:fldChar w:fldCharType="end" w:fldLock="0"/>
      </w:r>
      <w:r>
        <w:rPr>
          <w:rStyle w:val="Default Paragraph Font.0"/>
          <w:rtl w:val="0"/>
        </w:rPr>
        <w:t xml:space="preserve"> based on the linking of dynamic systems. To trigger this coevolutionary advantage, changes in linguistic abilities must arise in parallel with advances in cognitive or social abilities. Moreover, both effects must interact at the moment of speaking. When this happens in a way that favors reproductive fitness, the mutation will be preserved. To study the linkage of this timeframe to interaction in the moment, researchers must focus on individual and population differences. For example, one can study clinical patterns such as Specific Language Impairment (SLI), stuttering, autism, or Williams Syndrome in terms of their impact on communication during the moment.  For example, there is evidence that Specific Language Impairment  arises from difficulties in integrating diverse types of linguistic information online </w:t>
      </w:r>
      <w:r>
        <w:rPr/>
        <w:fldChar w:fldCharType="begin" w:fldLock="0"/>
      </w:r>
      <w:r>
        <w:instrText xml:space="preserve"> ADDIN EN.CITE &lt;EndNote&gt;&lt;Cite  &gt;&lt;Author&gt;Presson, N.&lt;/Author&gt;&lt;Year&gt;in press&lt;/Year&gt;&lt;RecNum&gt;11117&lt;/RecNum&gt;&lt;DisplayText&gt;(Presson &amp; MacWhinney, in press)&lt;/DisplayText&gt;&lt;record&gt;&lt;database name="allrefs.enl" path="/Files/EndNote/allrefs.enl"&gt;allrefs.enl&lt;/database&gt;&lt;source-app name="EndNote" version="14.0"&gt;EndNote&lt;/source-app&gt;&lt;rec-number&gt;11117&lt;/rec-number&gt;&lt;foreign-keys&gt;&lt;key app="EN" db-id="d90vsetwrpftsqew0f8pa5d3eepftezf5xpp"&gt;11117&lt;/key&gt;&lt;/foreign-keys&gt;&lt;ref-type name="Book Section"&gt;5&lt;/ref-type&gt;&lt;contributors&gt;&lt;authors&gt;&lt;author&gt;&lt;style face="normal" font="default" size="100%"&gt;Presson, N.&lt;/style&gt;&lt;/author&gt;&lt;author&gt;&lt;style face="normal" font="default" size="100%"&gt;MacWhinney, B&lt;/style&gt;&lt;/author&gt;&lt;/authors&gt;&lt;secondary-authors&gt;&lt;author&gt;&lt;style face="normal" font="default" size="100%"&gt;Guendozi, J.&lt;/style&gt;&lt;/author&gt;&lt;/secondary-authors&gt;&lt;/contributors&gt;&lt;titles&gt;&lt;title&gt;&lt;style face="normal" font="default" size="100%"&gt;The Competition Model and language disorders&lt;/style&gt;&lt;/title&gt;&lt;secondary-title&gt;&lt;style face="normal" font="default" size="100%"&gt;Handbook of language disorders&lt;/style&gt;&lt;/secondary-title&gt;&lt;/titles&gt;&lt;dates&gt;&lt;year&gt;&lt;style face="normal" font="default" size="100%"&gt;in press&lt;/style&gt;&lt;/year&gt;&lt;/dates&gt;&lt;pub-location&gt;&lt;style face="normal" font="default" size="100%"&gt;New York&lt;/style&gt;&lt;/pub-location&gt;&lt;publisher&gt;&lt;style face="normal" font="default" size="100%"&gt;Routledge&lt;/style&gt;&lt;/publisher&gt;&lt;urls/&gt;&lt;/record&gt;&lt;/Cite&gt;&lt;/EndNote&gt;</w:instrText>
      </w:r>
      <w:r>
        <w:rPr/>
        <w:fldChar w:fldCharType="separate" w:fldLock="0"/>
      </w:r>
      <w:r>
        <w:rPr>
          <w:rtl w:val="0"/>
        </w:rPr>
        <w:t>(Presson &amp; MacWhinney, in press)</w:t>
      </w:r>
      <w:r>
        <w:rPr/>
        <w:fldChar w:fldCharType="end" w:fldLock="0"/>
      </w:r>
      <w:r>
        <w:rPr>
          <w:rStyle w:val="Default Paragraph Font.0"/>
          <w:rtl w:val="0"/>
        </w:rPr>
        <w:t xml:space="preserve">.  One important line of research seeks to link these patterns to specific genetic patterns in genes such as FOXP2 </w:t>
      </w:r>
      <w:r>
        <w:rPr/>
        <w:fldChar w:fldCharType="begin" w:fldLock="0"/>
      </w:r>
      <w:r>
        <w:instrText xml:space="preserve"> ADDIN EN.CITE &lt;EndNote&gt;&lt;Cite  &gt;&lt;DisplayText&gt;(Enard et al., 2002)&lt;/DisplayText&gt;&lt;record&gt;&lt;database name="allrefs.enl" path="/Files/EndNote/allrefs.enl"&gt;allrefs.enl&lt;/database&gt;&lt;source-app name="EndNote" version="14.0"&gt;EndNote&lt;/source-app&gt;&lt;rec-number&gt;10311&lt;/rec-number&gt;&lt;foreign-keys&gt;&lt;key app="EN" db-id="d90vsetwrpftsqew0f8pa5d3eepftezf5xpp"&gt;10311&lt;/key&gt;&lt;/foreign-keys&gt;&lt;ref-type name="Journal Article"&gt;17&lt;/ref-type&gt;&lt;contributors&gt;&lt;authors&gt;&lt;author&gt;&lt;style face="normal" font="default" size="100%"&gt;Enard, W.&lt;/style&gt;&lt;/author&gt;&lt;author&gt;&lt;style face="normal" font="default" size="100%"&gt;Przeworski, M.&lt;/style&gt;&lt;/author&gt;&lt;author&gt;&lt;style face="normal" font="default" size="100%"&gt;Fisher, S.&lt;/style&gt;&lt;/author&gt;&lt;author&gt;&lt;style face="normal" font="default" size="100%"&gt;Lai, C.&lt;/style&gt;&lt;/author&gt;&lt;author&gt;&lt;style face="normal" font="default" size="100%"&gt;Wiebe, V.&lt;/style&gt;&lt;/author&gt;&lt;author&gt;&lt;style face="normal" font="default" size="100%"&gt;Kitano, T.&lt;/style&gt;&lt;/author&gt;&lt;author&gt;&lt;style face="normal" font="default" size="100%"&gt;Monaco, A.&lt;/style&gt;&lt;/author&gt;&lt;author&gt;&lt;style face="normal" font="default" size="100%"&gt;Pååbo, S.&lt;/style&gt;&lt;/author&gt;&lt;/authors&gt;&lt;/contributors&gt;&lt;titles&gt;&lt;title&gt;&lt;style face="normal" font="default" size="100%"&gt;Molecular evolution of FOXP2, a gene involved in speech and language&lt;/style&gt;&lt;/title&gt;&lt;secondary-title&gt;&lt;style face="normal" font="default" size="100%"&gt;Nature&lt;/style&gt;&lt;/secondary-title&gt;&lt;/titles&gt;&lt;pages&gt;&lt;style face="normal" font="default" size="100%"&gt;869-872&lt;/style&gt;&lt;/pages&gt;&lt;volume&gt;&lt;style face="normal" font="default" size="100%"&gt;418&lt;/style&gt;&lt;/volume&gt;&lt;dates&gt;&lt;year&gt;&lt;style face="normal" font="default" size="100%"&gt;2002&lt;/style&gt;&lt;/year&gt;&lt;/dates&gt;&lt;urls/&gt;&lt;/record&gt;&lt;/Cite&gt;&lt;/EndNote&gt;</w:instrText>
      </w:r>
      <w:r>
        <w:rPr/>
        <w:fldChar w:fldCharType="separate" w:fldLock="0"/>
      </w:r>
      <w:r>
        <w:rPr>
          <w:rtl w:val="0"/>
        </w:rPr>
        <w:t>(Enard et al., 2002)</w:t>
      </w:r>
      <w:r>
        <w:rPr/>
        <w:fldChar w:fldCharType="end" w:fldLock="0"/>
      </w:r>
      <w:r>
        <w:rPr>
          <w:rStyle w:val="Default Paragraph Font.0"/>
          <w:rtl w:val="0"/>
        </w:rPr>
        <w:t>.  However, we also need to trace the effects of these genetic factors on language both through controlled experimental tasks and corpus analysis.  Corpus analysis allows us to track ways in which the language of these populations differs from the standard pattern.  By examining these patterns in detail, we can learn which constructions trigger errors, avoidance, or alternative strategies.</w:t>
      </w:r>
    </w:p>
    <w:p>
      <w:pPr>
        <w:pStyle w:val="Normal.0"/>
        <w:bidi w:val="0"/>
        <w:rPr>
          <w:rStyle w:val="Default Paragraph Font.0"/>
        </w:rPr>
      </w:pPr>
    </w:p>
    <w:p>
      <w:pPr>
        <w:pStyle w:val="Normal.0"/>
        <w:bidi w:val="0"/>
        <w:rPr>
          <w:rStyle w:val="Default Paragraph Font.0"/>
        </w:rPr>
      </w:pPr>
      <w:r>
        <w:rPr>
          <w:rStyle w:val="Default Paragraph Font.0"/>
          <w:b w:val="1"/>
          <w:bCs w:val="1"/>
          <w:rtl w:val="0"/>
          <w:lang w:val="en-US"/>
        </w:rPr>
        <w:t>Linking the timeframes in the moment</w:t>
      </w:r>
      <w:r>
        <w:rPr>
          <w:rStyle w:val="Default Paragraph Font.0"/>
          <w:rtl w:val="0"/>
        </w:rPr>
        <w:t xml:space="preserve">. All of these processes, across all of these timeframes, must have their impact at the moment of speaking.  This means that, if we can capture the moments of speaking in sufficient quality and quantity, we will be able to study the interplay of all of these processes.  To achieve this,  the primary TalkBank data structure is an alignment between a digitized transcript (or annotation) and digitized media, much as in the TalkBank database.  As Bird &amp; Liberman </w:t>
      </w:r>
      <w:r>
        <w:rPr/>
        <w:fldChar w:fldCharType="begin" w:fldLock="0"/>
      </w:r>
      <w:r>
        <w:instrText xml:space="preserve"> ADDIN EN.CITE &lt;EndNote&gt;&lt;Cite ExcludeAuth="1" &gt;&lt;Author&gt;Bird, S.&lt;/Author&gt;&lt;Year&gt;2001&lt;/Year&gt;&lt;RecNum&gt;9745&lt;/RecNum&gt;&lt;DisplayText&gt;(2001)&lt;/DisplayText&gt;&lt;record&gt;&lt;database name="allrefs.enl" path="/Files/EndNote/allrefs.enl"&gt;allrefs.enl&lt;/database&gt;&lt;source-app name="EndNote" version="14.0"&gt;EndNote&lt;/source-app&gt;&lt;rec-number&gt;9745&lt;/rec-number&gt;&lt;foreign-keys&gt;&lt;key app="EN" db-id="d90vsetwrpftsqew0f8pa5d3eepftezf5xpp"&gt;9745&lt;/key&gt;&lt;/foreign-keys&gt;&lt;ref-type name="Journal Article"&gt;17&lt;/ref-type&gt;&lt;contributors&gt;&lt;authors&gt;&lt;author&gt;&lt;style face="normal" font="default" size="100%"&gt;Bird, S.&lt;/style&gt;&lt;/author&gt;&lt;author&gt;&lt;style face="normal" font="default" size="100%"&gt;Liberman, M.&lt;/style&gt;&lt;/author&gt;&lt;/authors&gt;&lt;/contributors&gt;&lt;titles&gt;&lt;title&gt;&lt;style face="normal" font="default" size="100%"&gt;A formal framework for linguistic annotation&lt;/style&gt;&lt;/title&gt;&lt;secondary-title&gt;&lt;style face="normal" font="default" size="100%"&gt;Speech Communication&lt;/style&gt;&lt;/secondary-title&gt;&lt;/titles&gt;&lt;pages&gt;&lt;style face="normal" font="default" size="100%"&gt;23-60&lt;/style&gt;&lt;/pages&gt;&lt;volume&gt;&lt;style face="normal" font="default" size="100%"&gt;33&lt;/style&gt;&lt;/volume&gt;&lt;dates&gt;&lt;year&gt;&lt;style face="normal" font="default" size="100%"&gt;2001&lt;/style&gt;&lt;/year&gt;&lt;/dates&gt;&lt;urls/&gt;&lt;/record&gt;&lt;/Cite&gt;&lt;/EndNote&gt;</w:instrText>
      </w:r>
      <w:r>
        <w:rPr/>
        <w:fldChar w:fldCharType="separate" w:fldLock="0"/>
      </w:r>
      <w:r>
        <w:rPr>
          <w:rtl w:val="0"/>
        </w:rPr>
        <w:t>(2001)</w:t>
      </w:r>
      <w:r>
        <w:rPr/>
        <w:fldChar w:fldCharType="end" w:fldLock="0"/>
      </w:r>
      <w:r>
        <w:rPr>
          <w:rStyle w:val="Default Paragraph Font.0"/>
          <w:rtl w:val="0"/>
        </w:rPr>
        <w:t xml:space="preserve"> have shown, linkages of annotations to media all assume the form of directed acyclic graphs (DAGs) which they call </w:t>
      </w:r>
      <w:r>
        <w:rPr>
          <w:rStyle w:val="Default Paragraph Font.0"/>
          <w:rtl w:val="0"/>
        </w:rPr>
        <w:t>“</w:t>
      </w:r>
      <w:r>
        <w:rPr>
          <w:rStyle w:val="Default Paragraph Font.0"/>
          <w:rtl w:val="0"/>
        </w:rPr>
        <w:t>annotation graphs</w:t>
      </w:r>
      <w:r>
        <w:rPr>
          <w:rStyle w:val="Default Paragraph Font.0"/>
          <w:rtl w:val="0"/>
        </w:rPr>
        <w:t xml:space="preserve">” </w:t>
      </w:r>
      <w:r>
        <w:rPr>
          <w:rStyle w:val="Default Paragraph Font.0"/>
          <w:rtl w:val="0"/>
        </w:rPr>
        <w:t xml:space="preserve">(AG). Although this structure is universal, there are dozens of methods for characterizing and displaying these transcript-media linkages. The next page shows two ways in which a transcript can be linked to media. In the first format, from ELAN, we see the transcript displayed in a musical notation format under the QuickTime window. In the second format, from CLAN, we see the transcript in a standard textual display. In both cases, as the researcher plays through the video, the respective segment of the transcript is highlighted so that the researcher can study the transcript in tight synchrony with the actual experience of the interaction. </w:t>
      </w:r>
    </w:p>
    <w:p>
      <w:pPr>
        <w:pStyle w:val="Normal.0"/>
        <w:bidi w:val="0"/>
        <w:rPr>
          <w:rStyle w:val="Default Paragraph Font.0"/>
        </w:rPr>
      </w:pPr>
    </w:p>
    <w:p>
      <w:pPr>
        <w:pStyle w:val="Normal.0"/>
        <w:bidi w:val="0"/>
        <w:rPr>
          <w:rStyle w:val="Default Paragraph Font.0"/>
        </w:rPr>
      </w:pPr>
      <w:r>
        <w:rPr>
          <w:rStyle w:val="Default Paragraph Font.0"/>
        </w:rPr>
        <w:drawing>
          <wp:inline distT="0" distB="0" distL="0" distR="0">
            <wp:extent cx="3596045" cy="294678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elan.png"/>
                    <pic:cNvPicPr>
                      <a:picLocks noChangeAspect="0"/>
                    </pic:cNvPicPr>
                  </pic:nvPicPr>
                  <pic:blipFill>
                    <a:blip r:embed="rId7">
                      <a:extLst/>
                    </a:blip>
                    <a:stretch>
                      <a:fillRect/>
                    </a:stretch>
                  </pic:blipFill>
                  <pic:spPr>
                    <a:xfrm>
                      <a:off x="0" y="0"/>
                      <a:ext cx="3596045" cy="2946788"/>
                    </a:xfrm>
                    <a:prstGeom prst="rect">
                      <a:avLst/>
                    </a:prstGeom>
                    <a:ln w="9525" cap="flat">
                      <a:noFill/>
                      <a:round/>
                    </a:ln>
                    <a:effectLst/>
                  </pic:spPr>
                </pic:pic>
              </a:graphicData>
            </a:graphic>
          </wp:inline>
        </w:drawing>
      </w:r>
    </w:p>
    <w:p>
      <w:pPr>
        <w:pStyle w:val="Normal.0"/>
        <w:jc w:val="center"/>
        <w:rPr>
          <w:rStyle w:val="Default Paragraph Font.0"/>
        </w:rPr>
      </w:pPr>
      <w:r>
        <w:rPr>
          <w:rStyle w:val="Default Paragraph Font.0"/>
          <w:rtl w:val="0"/>
          <w:lang w:val="en-US"/>
        </w:rPr>
        <w:t>A time-aligned transcript as displayed by ELAN.</w:t>
      </w:r>
    </w:p>
    <w:p>
      <w:pPr>
        <w:pStyle w:val="Normal.0"/>
        <w:rPr>
          <w:rStyle w:val="Default Paragraph Font.0"/>
          <w:b w:val="1"/>
          <w:bCs w:val="1"/>
        </w:rPr>
      </w:pPr>
    </w:p>
    <w:p>
      <w:pPr>
        <w:pStyle w:val="Normal.0"/>
        <w:bidi w:val="0"/>
        <w:rPr>
          <w:rStyle w:val="Default Paragraph Font.0"/>
        </w:rPr>
      </w:pPr>
      <w:r>
        <w:rPr>
          <w:rStyle w:val="Default Paragraph Font.0"/>
        </w:rPr>
        <w:drawing>
          <wp:inline distT="0" distB="0" distL="0" distR="0">
            <wp:extent cx="5257800" cy="278130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lan.png"/>
                    <pic:cNvPicPr>
                      <a:picLocks noChangeAspect="0"/>
                    </pic:cNvPicPr>
                  </pic:nvPicPr>
                  <pic:blipFill>
                    <a:blip r:embed="rId8">
                      <a:extLst/>
                    </a:blip>
                    <a:stretch>
                      <a:fillRect/>
                    </a:stretch>
                  </pic:blipFill>
                  <pic:spPr>
                    <a:xfrm>
                      <a:off x="0" y="0"/>
                      <a:ext cx="5257800" cy="2781301"/>
                    </a:xfrm>
                    <a:prstGeom prst="rect">
                      <a:avLst/>
                    </a:prstGeom>
                    <a:ln w="9525" cap="flat">
                      <a:noFill/>
                      <a:round/>
                    </a:ln>
                    <a:effectLst/>
                  </pic:spPr>
                </pic:pic>
              </a:graphicData>
            </a:graphic>
          </wp:inline>
        </w:drawing>
      </w:r>
    </w:p>
    <w:p>
      <w:pPr>
        <w:pStyle w:val="Normal.0"/>
        <w:rPr>
          <w:rStyle w:val="Default Paragraph Font.0"/>
          <w:b w:val="1"/>
          <w:bCs w:val="1"/>
        </w:rPr>
      </w:pPr>
    </w:p>
    <w:p>
      <w:pPr>
        <w:pStyle w:val="Normal.0"/>
        <w:ind w:firstLine="0"/>
        <w:jc w:val="center"/>
        <w:rPr>
          <w:rStyle w:val="Default Paragraph Font.0"/>
        </w:rPr>
      </w:pPr>
      <w:r>
        <w:rPr>
          <w:rStyle w:val="Default Paragraph Font.0"/>
          <w:rtl w:val="0"/>
          <w:lang w:val="en-US"/>
        </w:rPr>
        <w:t xml:space="preserve">   A time-aligned transcript as displayed in CLAN</w:t>
      </w:r>
    </w:p>
    <w:p>
      <w:pPr>
        <w:pStyle w:val="Normal.0"/>
        <w:bidi w:val="0"/>
        <w:rPr>
          <w:rStyle w:val="Default Paragraph Font.0"/>
        </w:rPr>
      </w:pPr>
    </w:p>
    <w:p>
      <w:pPr>
        <w:pStyle w:val="Normal.0"/>
        <w:bidi w:val="0"/>
        <w:rPr>
          <w:rStyle w:val="Default Paragraph Font.0"/>
        </w:rPr>
      </w:pPr>
      <w:r>
        <w:rPr>
          <w:rStyle w:val="Default Paragraph Font.0"/>
          <w:rtl w:val="0"/>
        </w:rPr>
        <w:t xml:space="preserve">This particular videotaped interaction was the subject of a special issue of Discourse Processes in 1999. In the interaction, medical students in a problem-based learning (PBL) class are trying to link the position of the hippocampus to observed symptoms in a neurological patient. The CD-ROM at the back of the special issue presented the transcripts linked to the media. These transcripts with linked media can be browsed over the web from </w:t>
      </w:r>
      <w:r>
        <w:rPr>
          <w:rStyle w:val="Hyperlink.0"/>
        </w:rPr>
        <w:fldChar w:fldCharType="begin" w:fldLock="0"/>
      </w:r>
      <w:r>
        <w:rPr>
          <w:rStyle w:val="Hyperlink.0"/>
        </w:rPr>
        <w:instrText xml:space="preserve"> HYPERLINK "http://talkbank.org/browser"</w:instrText>
      </w:r>
      <w:r>
        <w:rPr>
          <w:rStyle w:val="Hyperlink.0"/>
        </w:rPr>
        <w:fldChar w:fldCharType="separate" w:fldLock="0"/>
      </w:r>
      <w:r>
        <w:rPr>
          <w:rStyle w:val="Hyperlink.0"/>
          <w:rtl w:val="0"/>
        </w:rPr>
        <w:t>http://talkbank.org/browser</w:t>
      </w:r>
      <w:r>
        <w:rPr/>
        <w:fldChar w:fldCharType="end" w:fldLock="0"/>
      </w:r>
      <w:r>
        <w:rPr>
          <w:rStyle w:val="Default Paragraph Font.0"/>
          <w:rtl w:val="0"/>
        </w:rPr>
        <w:t>. This particular example is at ClassBank/CogInst/mytheory.cha.</w:t>
      </w:r>
    </w:p>
    <w:p>
      <w:pPr>
        <w:pStyle w:val="Normal.0"/>
        <w:bidi w:val="0"/>
        <w:rPr>
          <w:rStyle w:val="Default Paragraph Font.0"/>
        </w:rPr>
      </w:pPr>
      <w:r>
        <w:rPr>
          <w:rStyle w:val="Default Paragraph Font.0"/>
          <w:rtl w:val="0"/>
        </w:rPr>
        <w:t>The advantage of the ELAN musical score display format is that it displays clearly the duration of a communicative activity and the synchrony across types of communicative activities (intonation, head nodding, words, etc.). The advantage of the CLAN transcript format is that it is easier to read and presents a better overview of the conversation. Each visualization format has its own advantages and disadvantages. The important point is that, with full data interoperability, researchers can display the same underlying data in whichever viewer or editor they need for the particular project at hand. Toward this goal, we have written programs that can reliably convert data from all of the major transcript-media display programs (AG, Anvil, ELAN, EXMARaLDA, HIAT, SALT, DRT, SyncWriter, MediaTagger, Transcriber, Transana, Praat, WaveSurfer, SoundWalker, and Observer) into the ComNet XML format. Moreover, transcriptions and other annotations can be transformed from XML back into each format and compared with the original to show that no data was lost during the roundtrip conversion.</w:t>
      </w:r>
    </w:p>
    <w:p>
      <w:pPr>
        <w:pStyle w:val="Heading 1"/>
        <w:numPr>
          <w:ilvl w:val="0"/>
          <w:numId w:val="1"/>
        </w:numPr>
        <w:bidi w:val="0"/>
        <w:rPr>
          <w:rStyle w:val="Default Paragraph Font.0"/>
          <w:sz w:val="20"/>
          <w:szCs w:val="20"/>
        </w:rPr>
      </w:pPr>
      <w:r>
        <w:rPr>
          <w:rStyle w:val="Default Paragraph Font.0"/>
          <w:rtl w:val="0"/>
          <w:lang w:val="de-DE"/>
        </w:rPr>
        <w:t xml:space="preserve">    Analysis Methods</w:t>
      </w:r>
    </w:p>
    <w:p>
      <w:pPr>
        <w:pStyle w:val="Normal.0"/>
        <w:bidi w:val="0"/>
        <w:rPr>
          <w:rStyle w:val="Default Paragraph Font.0"/>
        </w:rPr>
      </w:pPr>
      <w:r>
        <w:rPr>
          <w:rStyle w:val="Default Paragraph Font.0"/>
          <w:rtl w:val="0"/>
        </w:rPr>
        <w:t xml:space="preserve">Corpora composed of multimedia interactions linked to transcripts can be analyzed through a wide variety of methods.  Because only some of these methods involve controlled experimentation,  there is sometimes a tendency to dismiss corpus analysis as unscientific or prescientific.  However, many of the most important advances in science have come from non-experimental methods, such as naturalistic observation (Darwin, Linnaeus), model building (Hawkins), and thought experiments (Einstein). Moreover, corpus analysis can easily be combined with experimental control, when necessary. Therefore, any general attempt to dismiss corpus analysis as unscientific is inappropriate.  Instead, methodological critiques should focus on understanding the match between particular methods and their individual scientific goals. In this section, I will review 12 classes of methods that have proven useful in the study of multimedia corpora.  To illustrate these methods, I will often refer to specific computational implementations available in the CLAN programs (talkbank.org/CLAN) created by the TalkBank project.  In fact, there are dozens of other computational implementations that overlap with features of the CLAN programs and I am using CLAN here only to provide a consistent source of examples. </w:t>
      </w:r>
    </w:p>
    <w:p>
      <w:pPr>
        <w:pStyle w:val="Heading 2"/>
        <w:numPr>
          <w:ilvl w:val="1"/>
          <w:numId w:val="1"/>
        </w:numPr>
        <w:bidi w:val="0"/>
      </w:pPr>
      <w:r>
        <w:rPr>
          <w:rtl w:val="0"/>
        </w:rPr>
        <w:t>Lexical studies</w:t>
      </w:r>
    </w:p>
    <w:p>
      <w:pPr>
        <w:pStyle w:val="Normal.0"/>
        <w:bidi w:val="0"/>
      </w:pPr>
      <w:r>
        <w:rPr>
          <w:rtl w:val="0"/>
        </w:rPr>
        <w:t>The most widely used methods in corpus analysis involve the study of the distribution of lexical forms. What makes these method particularly appealing is the ease with which computers can locate specific surface word forms in corpora.  Internet search engines such as Google have taken advantage of this fact to construct indices to the vast textual resources of the Internet.  These same methods can also be applied to multimedia resources with transcripts linked to video. The various lexical methods fall into several categories or levels, based on the extent to which they rely on additional structures:</w:t>
      </w:r>
    </w:p>
    <w:p>
      <w:pPr>
        <w:pStyle w:val="NoIndent"/>
        <w:bidi w:val="0"/>
      </w:pPr>
    </w:p>
    <w:p>
      <w:pPr>
        <w:pStyle w:val="Enumerate"/>
        <w:numPr>
          <w:ilvl w:val="0"/>
          <w:numId w:val="4"/>
        </w:numPr>
        <w:bidi w:val="0"/>
      </w:pPr>
      <w:r>
        <w:rPr>
          <w:rtl w:val="0"/>
        </w:rPr>
        <w:t xml:space="preserve">The simplest lexical methods treat corpora as mere </w:t>
      </w:r>
      <w:r>
        <w:rPr>
          <w:rtl w:val="0"/>
        </w:rPr>
        <w:t>“</w:t>
      </w:r>
      <w:r>
        <w:rPr>
          <w:rtl w:val="0"/>
        </w:rPr>
        <w:t>bags of words</w:t>
      </w:r>
      <w:r>
        <w:rPr>
          <w:rtl w:val="0"/>
        </w:rPr>
        <w:t>”</w:t>
      </w:r>
      <w:r>
        <w:rPr>
          <w:rtl w:val="0"/>
        </w:rPr>
        <w:t xml:space="preserve">.  From this bag of words, we can compute lists of word frequencies, based simply on surface forms. For example, the FREQ program in CLAN provides frequency lists that can be order alphabetically or by frequency.  As in BNCWeb, the output of FREQ can be used to locate the usages in the original transcripts.  Moreover, the output can be shipped over to programs such as Excel for further statistical analysis. </w:t>
      </w:r>
    </w:p>
    <w:p>
      <w:pPr>
        <w:pStyle w:val="Enumerate"/>
        <w:numPr>
          <w:ilvl w:val="0"/>
          <w:numId w:val="3"/>
        </w:numPr>
        <w:bidi w:val="0"/>
      </w:pPr>
      <w:r>
        <w:rPr>
          <w:rtl w:val="0"/>
        </w:rPr>
        <w:t xml:space="preserve">Beyond the first level of lexical counting, it is easy to construct a specific search set that targets words from a given semantic domain.  For example, FREQ allows the user to track the frequencies of words in specific user-defined lexical groups, such as </w:t>
      </w:r>
      <w:r>
        <w:rPr>
          <w:rtl w:val="0"/>
        </w:rPr>
        <w:t>“</w:t>
      </w:r>
      <w:r>
        <w:rPr>
          <w:rtl w:val="0"/>
        </w:rPr>
        <w:t>morality terms</w:t>
      </w:r>
      <w:r>
        <w:rPr>
          <w:rtl w:val="0"/>
        </w:rPr>
        <w:t xml:space="preserve">” </w:t>
      </w:r>
      <w:r>
        <w:rPr>
          <w:rtl w:val="0"/>
        </w:rPr>
        <w:t xml:space="preserve">or </w:t>
      </w:r>
      <w:r>
        <w:rPr>
          <w:rtl w:val="0"/>
        </w:rPr>
        <w:t>“</w:t>
      </w:r>
      <w:r>
        <w:rPr>
          <w:rtl w:val="0"/>
        </w:rPr>
        <w:t>quantifiers</w:t>
      </w:r>
      <w:r>
        <w:rPr>
          <w:rtl w:val="0"/>
        </w:rPr>
        <w:t>”</w:t>
      </w:r>
      <w:r>
        <w:rPr>
          <w:rtl w:val="0"/>
        </w:rPr>
        <w:t xml:space="preserve">.  </w:t>
      </w:r>
    </w:p>
    <w:p>
      <w:pPr>
        <w:pStyle w:val="Enumerate"/>
        <w:numPr>
          <w:ilvl w:val="0"/>
          <w:numId w:val="3"/>
        </w:numPr>
        <w:bidi w:val="0"/>
      </w:pPr>
      <w:r>
        <w:rPr>
          <w:rtl w:val="0"/>
        </w:rPr>
        <w:t xml:space="preserve">One can also characterize texts in terms of a variety of lexical profiles.  For example, the type/token ratio (TTR), which is also produced by the FREQ program, can be used to indicate the lexical diversity of a text.  However, this index is not constant across sample sizes, because the impact of high frequency words  on lowering the TTR is most clearly demonstrated in larger texts.  To correct for this, CLAN encourages the user to rely instead on the VOCD measure of vocabulary diversity </w:t>
      </w:r>
      <w:r>
        <w:rPr/>
        <w:fldChar w:fldCharType="begin" w:fldLock="0"/>
      </w:r>
      <w:r>
        <w:instrText xml:space="preserve"> ADDIN EN.CITE &lt;EndNote&gt;&lt;Cite  &gt;&lt;DisplayText&gt;(Malvern, Richards, Chipere, &amp; Purán, 2004)&lt;/DisplayText&gt;&lt;record&gt;&lt;database name="allrefs.enl" path="/Files/EndNote/allrefs.enl"&gt;allrefs.enl&lt;/database&gt;&lt;source-app name="EndNote" version="14.0"&gt;EndNote&lt;/source-app&gt;&lt;rec-number&gt;10187&lt;/rec-number&gt;&lt;foreign-keys&gt;&lt;key app="EN" db-id="d90vsetwrpftsqew0f8pa5d3eepftezf5xpp"&gt;10187&lt;/key&gt;&lt;/foreign-keys&gt;&lt;ref-type name="Book"&gt;6&lt;/ref-type&gt;&lt;contributors&gt;&lt;authors&gt;&lt;author&gt;&lt;style face="normal" font="default" size="100%"&gt;Malvern, D. D.&lt;/style&gt;&lt;/author&gt;&lt;author&gt;&lt;style face="normal" font="default" size="100%"&gt;Richards, B. J.&lt;/style&gt;&lt;/author&gt;&lt;author&gt;&lt;style face="normal" font="default" size="100%"&gt;Chipere, N.&lt;/style&gt;&lt;/author&gt;&lt;author&gt;&lt;style face="normal" font="default" size="100%"&gt;Purán, P.&lt;/style&gt;&lt;/author&gt;&lt;/authors&gt;&lt;/contributors&gt;&lt;titles&gt;&lt;title&gt;&lt;style face="normal" font="default" size="100%"&gt;Lexical diversity and language development&lt;/style&gt;&lt;/title&gt;&lt;/titles&gt;&lt;keywords&gt;&lt;keyword&gt;&lt;style face="normal" font="default" size="100%"&gt;CHILDES&lt;/style&gt;&lt;/keyword&gt;&lt;/keywords&gt;&lt;dates&gt;&lt;year&gt;&lt;style face="normal" font="default" size="100%"&gt;2004&lt;/style&gt;&lt;/year&gt;&lt;/dates&gt;&lt;pub-location&gt;&lt;style face="normal" font="default" size="100%"&gt;New York&lt;/style&gt;&lt;/pub-location&gt;&lt;publisher&gt;&lt;style face="normal" font="default" size="100%"&gt;Palgrave Macmillan&lt;/style&gt;&lt;/publisher&gt;&lt;urls/&gt;&lt;/record&gt;&lt;/Cite&gt;&lt;/EndNote&gt;</w:instrText>
      </w:r>
      <w:r>
        <w:rPr/>
        <w:fldChar w:fldCharType="separate" w:fldLock="0"/>
      </w:r>
      <w:r>
        <w:rPr>
          <w:rtl w:val="0"/>
        </w:rPr>
        <w:t>(Malvern, Richards, Chipere, &amp; Purán, 2004)</w:t>
      </w:r>
      <w:r>
        <w:rPr/>
        <w:fldChar w:fldCharType="end" w:fldLock="0"/>
      </w:r>
      <w:r>
        <w:rPr>
          <w:rtl w:val="0"/>
        </w:rPr>
        <w:t xml:space="preserve">. </w:t>
      </w:r>
    </w:p>
    <w:p>
      <w:pPr>
        <w:pStyle w:val="Enumerate"/>
        <w:numPr>
          <w:ilvl w:val="0"/>
          <w:numId w:val="3"/>
        </w:numPr>
        <w:bidi w:val="0"/>
      </w:pPr>
      <w:r>
        <w:rPr>
          <w:rtl w:val="0"/>
        </w:rPr>
        <w:t xml:space="preserve">On the next higher level, CLAN provides methods of searching lexical combinations through regular expression (Regex) pattern matching </w:t>
      </w:r>
      <w:r>
        <w:rPr/>
        <w:fldChar w:fldCharType="begin" w:fldLock="0"/>
      </w:r>
      <w:r>
        <w:instrText xml:space="preserve"> ADDIN EN.CITE &lt;EndNote&gt;&lt;Cite  &gt;&lt;Author&gt;Friedl, J.&lt;/Author&gt;&lt;Year&gt;2002&lt;/Year&gt;&lt;RecNum&gt;11116&lt;/RecNum&gt;&lt;DisplayText&gt;(Friedl, 2002)&lt;/DisplayText&gt;&lt;record&gt;&lt;database name="allrefs.enl" path="/Files/EndNote/allrefs.enl"&gt;allrefs.enl&lt;/database&gt;&lt;source-app name="EndNote" version="14.0"&gt;EndNote&lt;/source-app&gt;&lt;rec-number&gt;11116&lt;/rec-number&gt;&lt;foreign-keys&gt;&lt;key app="EN" db-id="d90vsetwrpftsqew0f8pa5d3eepftezf5xpp"&gt;11116&lt;/key&gt;&lt;/foreign-keys&gt;&lt;ref-type name="Book"&gt;6&lt;/ref-type&gt;&lt;contributors&gt;&lt;authors&gt;&lt;author&gt;&lt;style face="normal" font="default" size="100%"&gt;Friedl, J.&lt;/style&gt;&lt;/author&gt;&lt;/authors&gt;&lt;/contributors&gt;&lt;titles&gt;&lt;title&gt;&lt;style face="normal" font="default" size="100%"&gt;Mastering regular expressions&lt;/style&gt;&lt;/title&gt;&lt;/titles&gt;&lt;dates&gt;&lt;year&gt;&lt;style face="normal" font="default" size="100%"&gt;2002&lt;/style&gt;&lt;/year&gt;&lt;/dates&gt;&lt;pub-location&gt;&lt;style face="normal" font="default" size="100%"&gt;Sebastopol, CA&lt;/style&gt;&lt;/pub-location&gt;&lt;publisher&gt;&lt;style face="normal" font="default" size="100%"&gt;O'Reilly&lt;/style&gt;&lt;/publisher&gt;&lt;urls/&gt;&lt;/record&gt;&lt;/Cite&gt;&lt;/EndNote&gt;</w:instrText>
      </w:r>
      <w:r>
        <w:rPr/>
        <w:fldChar w:fldCharType="separate" w:fldLock="0"/>
      </w:r>
      <w:r>
        <w:rPr>
          <w:rtl w:val="0"/>
        </w:rPr>
        <w:t>(Friedl, 2002)</w:t>
      </w:r>
      <w:r>
        <w:rPr/>
        <w:fldChar w:fldCharType="end" w:fldLock="0"/>
      </w:r>
      <w:r>
        <w:rPr>
          <w:rtl w:val="0"/>
        </w:rPr>
        <w:t>.  Using the KWAL and COMBO programs, users can locate each match to a pattern and double click on the entry to go to relevant line in the original transcript. At that point, they can study the discourse context and play back the audio or video, if needed.</w:t>
      </w:r>
    </w:p>
    <w:p>
      <w:pPr>
        <w:pStyle w:val="Enumerate"/>
        <w:numPr>
          <w:ilvl w:val="0"/>
          <w:numId w:val="3"/>
        </w:numPr>
        <w:bidi w:val="0"/>
      </w:pPr>
      <w:r>
        <w:rPr>
          <w:rtl w:val="0"/>
        </w:rPr>
        <w:t>In many cases, it is possible to formulate research questions in terms of the surface forms of words.  However, in other cases, researchers want to study lexical combinations in relation to part of speech (POS) tags and syntactic tags.  To support this, many of the corpora in CHILDES have been tagged for both morphosyntactic composition and syntactic role.  These tags are aligned with words on the main orthographic tier in a one-to-one fashion, as verified through the XML validator.  The online WebBNC corpus provides a good example of how simple Regex searches can be combined directly with POS information.  The current versions of COMBO and KWAL in CLAN can perform some of these searches.  However, the newer CHATTER program provides fuller support for XML-based Regex queries.  Unlike CLAN, which is written in C, CHATTER is written in Java and designed specifically for searching through the XML version of the various TalkBank databases.</w:t>
      </w:r>
    </w:p>
    <w:p>
      <w:pPr>
        <w:pStyle w:val="NoIndent"/>
        <w:bidi w:val="0"/>
      </w:pPr>
    </w:p>
    <w:p>
      <w:pPr>
        <w:pStyle w:val="NoIndent"/>
        <w:bidi w:val="0"/>
        <w:rPr>
          <w:rStyle w:val="Default Paragraph Font.0"/>
        </w:rPr>
      </w:pPr>
      <w:r>
        <w:rPr>
          <w:rStyle w:val="Default Paragraph Font.0"/>
          <w:rtl w:val="0"/>
        </w:rPr>
        <w:t xml:space="preserve">These various methods for lexical searching all depend on the use of consistent standards for lexical representation.  For spoken language corpora, it is often difficult for transcribers to adhere to a consistent set of standards for lexical representation.  MacWhinney </w:t>
      </w:r>
      <w:r>
        <w:rPr/>
        <w:fldChar w:fldCharType="begin" w:fldLock="0"/>
      </w:r>
      <w:r>
        <w:instrText xml:space="preserve"> ADDIN EN.CITE &lt;EndNote&gt;&lt;Cite ExcludeAuth="1" &gt;&lt;Author&gt;MacWhinney, B.&lt;/Author&gt;&lt;Year&gt;2008&lt;/Year&gt;&lt;RecNum&gt;10351&lt;/RecNum&gt;&lt;DisplayText&gt;(2008b)&lt;/DisplayText&gt;&lt;record&gt;&lt;database name="allrefs.enl" path="/Files/EndNote/allrefs.enl"&gt;allrefs.enl&lt;/database&gt;&lt;source-app name="EndNote" version="14.0"&gt;EndNote&lt;/source-app&gt;&lt;rec-number&gt;10351&lt;/rec-number&gt;&lt;foreign-keys&gt;&lt;key app="EN" db-id="d90vsetwrpftsqew0f8pa5d3eepftezf5xpp"&gt;10351&lt;/key&gt;&lt;/foreign-keys&gt;&lt;ref-type name="Book Section"&gt;5&lt;/ref-type&gt;&lt;contributors&gt;&lt;authors&gt;&lt;author&gt;&lt;style face="normal" font="default" size="100%"&gt;MacWhinney, B.&lt;/style&gt;&lt;/author&gt;&lt;/authors&gt;&lt;secondary-authors&gt;&lt;author&gt;&lt;style face="normal" font="default" size="100%"&gt;Behrens, H.&lt;/style&gt;&lt;/author&gt;&lt;/secondary-authors&gt;&lt;/contributors&gt;&lt;titles&gt;&lt;title&gt;&lt;style face="normal" font="default" size="100%"&gt;Enriching CHILDES for morphosyntactic analysis&lt;/style&gt;&lt;/title&gt;&lt;secondary-title&gt;&lt;style face="normal" font="default" size="100%"&gt;Trends in corpus research: Finding structure in data&lt;/style&gt;&lt;/secondary-title&gt;&lt;/titles&gt;&lt;pages&gt;&lt;style face="normal" font="default" size="100%"&gt;165-198&lt;/style&gt;&lt;/pages&gt;&lt;dates&gt;&lt;year&gt;&lt;style face="normal" font="default" size="100%"&gt;2008&lt;/style&gt;&lt;/year&gt;&lt;/dates&gt;&lt;pub-location&gt;&lt;style face="normal" font="default" size="100%"&gt;Amsterdam&lt;/style&gt;&lt;/pub-location&gt;&lt;publisher&gt;&lt;style face="normal" font="default" size="100%"&gt;John Benjamins&lt;/style&gt;&lt;/publisher&gt;&lt;urls/&gt;&lt;/record&gt;&lt;/Cite&gt;&lt;/EndNote&gt;</w:instrText>
      </w:r>
      <w:r>
        <w:rPr/>
        <w:fldChar w:fldCharType="separate" w:fldLock="0"/>
      </w:r>
      <w:r>
        <w:rPr>
          <w:rtl w:val="0"/>
        </w:rPr>
        <w:t>(2008b)</w:t>
      </w:r>
      <w:r>
        <w:rPr/>
        <w:fldChar w:fldCharType="end" w:fldLock="0"/>
      </w:r>
      <w:r>
        <w:rPr>
          <w:rStyle w:val="Default Paragraph Font.0"/>
          <w:rtl w:val="0"/>
        </w:rPr>
        <w:t xml:space="preserve"> describes these problems in detail.  Many of them can be resolved through simple standardization.  However, the most serious problem relates to the desire to represent the actual phonological form of the word directly in the lexical line.  Because TalkBank transcripts are typically linked to audio, the need for representing phonology directly through eye-dialect </w:t>
      </w:r>
      <w:r>
        <w:rPr/>
        <w:fldChar w:fldCharType="begin" w:fldLock="0"/>
      </w:r>
      <w:r>
        <w:instrText xml:space="preserve"> ADDIN EN.CITE &lt;EndNote&gt;&lt;Cite  &gt;&lt;Author&gt;Ochs, E.&lt;/Author&gt;&lt;Year&gt;1979&lt;/Year&gt;&lt;RecNum&gt;3153&lt;/RecNum&gt;&lt;DisplayText&gt;(Ochs, 1979)&lt;/DisplayText&gt;&lt;record&gt;&lt;database name="allrefs.enl" path="/Files/EndNote/allrefs.enl"&gt;allrefs.enl&lt;/database&gt;&lt;source-app name="EndNote" version="14.0"&gt;EndNote&lt;/source-app&gt;&lt;rec-number&gt;3153&lt;/rec-number&gt;&lt;foreign-keys&gt;&lt;key app="EN" db-id="d90vsetwrpftsqew0f8pa5d3eepftezf5xpp"&gt;3153&lt;/key&gt;&lt;/foreign-keys&gt;&lt;ref-type name="Book Section"&gt;5&lt;/ref-type&gt;&lt;contributors&gt;&lt;authors&gt;&lt;author&gt;&lt;style face="normal" font="default" size="100%"&gt;Ochs, E.&lt;/style&gt;&lt;/author&gt;&lt;/authors&gt;&lt;secondary-authors&gt;&lt;author&gt;&lt;style face="normal" font="default" size="100%"&gt;E. Ochs&lt;/style&gt;&lt;/author&gt;&lt;author&gt;&lt;style face="normal" font="default" size="100%"&gt;B. Schieffelin&lt;/style&gt;&lt;/author&gt;&lt;/secondary-authors&gt;&lt;/contributors&gt;&lt;titles&gt;&lt;title&gt;&lt;style face="normal" font="default" size="100%"&gt;Transcription as theory&lt;/style&gt;&lt;/title&gt;&lt;secondary-title&gt;&lt;style face="normal" font="default" size="100%"&gt;Developmental pragmatics&lt;/style&gt;&lt;/secondary-title&gt;&lt;/titles&gt;&lt;pages&gt;&lt;style face="normal" font="default" size="100%"&gt;43-72&lt;/style&gt;&lt;/pages&gt;&lt;dates&gt;&lt;year&gt;&lt;style face="normal" font="default" size="100%"&gt;1979&lt;/style&gt;&lt;/year&gt;&lt;/dates&gt;&lt;pub-location&gt;&lt;style face="normal" font="default" size="100%"&gt;New York&lt;/style&gt;&lt;/pub-location&gt;&lt;publisher&gt;&lt;style face="normal" font="default" size="100%"&gt;Academic&lt;/style&gt;&lt;/publisher&gt;&lt;abstract&gt;&lt;style face="normal" font="default" size="100%"&gt;incollection&lt;/style&gt;&lt;/abstract&gt;&lt;urls/&gt;&lt;/record&gt;&lt;/Cite&gt;&lt;/EndNote&gt;</w:instrText>
      </w:r>
      <w:r>
        <w:rPr/>
        <w:fldChar w:fldCharType="separate" w:fldLock="0"/>
      </w:r>
      <w:r>
        <w:rPr>
          <w:rtl w:val="0"/>
        </w:rPr>
        <w:t>(Ochs, 1979)</w:t>
      </w:r>
      <w:r>
        <w:rPr/>
        <w:fldChar w:fldCharType="end" w:fldLock="0"/>
      </w:r>
      <w:r>
        <w:rPr>
          <w:rStyle w:val="Default Paragraph Font.0"/>
          <w:rtl w:val="0"/>
        </w:rPr>
        <w:t xml:space="preserve"> is minimized.  In addition, CHAT provides methods for representing phonological form, but then following this with the standard lexical target.  Because of these various problems, many of the corpora in the CA segment of TalkBank may never be subjected to POS tagging.  Eventually, however, the bulk of the corpora in CHILDES and other segments of TalkBank will be tagged.</w:t>
      </w:r>
    </w:p>
    <w:p>
      <w:pPr>
        <w:pStyle w:val="Normal.0"/>
        <w:ind w:firstLine="0"/>
        <w:jc w:val="left"/>
        <w:rPr>
          <w:rStyle w:val="Default Paragraph Font.0"/>
        </w:rPr>
      </w:pPr>
    </w:p>
    <w:p>
      <w:pPr>
        <w:pStyle w:val="Heading 2"/>
        <w:numPr>
          <w:ilvl w:val="1"/>
          <w:numId w:val="1"/>
        </w:numPr>
        <w:bidi w:val="0"/>
        <w:rPr>
          <w:rStyle w:val="Default Paragraph Font.0"/>
          <w:sz w:val="20"/>
          <w:szCs w:val="20"/>
        </w:rPr>
      </w:pPr>
      <w:r>
        <w:rPr>
          <w:rStyle w:val="Default Paragraph Font.0"/>
          <w:rtl w:val="0"/>
          <w:lang w:val="en-US"/>
        </w:rPr>
        <w:t xml:space="preserve"> Qualitative Data Analysis (QDA) = Hand Coding</w:t>
      </w:r>
    </w:p>
    <w:p>
      <w:pPr>
        <w:pStyle w:val="Normal.0"/>
        <w:bidi w:val="0"/>
      </w:pPr>
      <w:r>
        <w:rPr>
          <w:rStyle w:val="Default Paragraph Font.0"/>
          <w:rtl w:val="0"/>
        </w:rPr>
        <w:t xml:space="preserve">Corpora can also be subjected to analysis through coding systems.  Areas that rely heavily on the use of hand coding include studies of gesture, speech acts, dialect features, interactional patterns, rhetorical structure, and speech errors.  The process of elaborating transcripts with hand-entered codes is known as Qualitative Data Analysis.  Major programs supporting QDA include NVivo7, ATLAS.ti, Kwalitan, The Observer, HyperResearch, and Transana.  Information on these programs is given at </w:t>
      </w:r>
      <w:r>
        <w:rPr>
          <w:rStyle w:val="Hyperlink.1"/>
        </w:rPr>
        <w:fldChar w:fldCharType="begin" w:fldLock="0"/>
      </w:r>
      <w:r>
        <w:rPr>
          <w:rStyle w:val="Hyperlink.1"/>
        </w:rPr>
        <w:instrText xml:space="preserve"> HYPERLINK "http://talkbank.org/software/"</w:instrText>
      </w:r>
      <w:r>
        <w:rPr>
          <w:rStyle w:val="Hyperlink.1"/>
        </w:rPr>
        <w:fldChar w:fldCharType="separate" w:fldLock="0"/>
      </w:r>
      <w:r>
        <w:rPr>
          <w:rStyle w:val="Hyperlink.1"/>
          <w:rtl w:val="0"/>
        </w:rPr>
        <w:t>http://talkbank.org/software/</w:t>
      </w:r>
      <w:r>
        <w:rPr/>
        <w:fldChar w:fldCharType="end" w:fldLock="0"/>
      </w:r>
      <w:r>
        <w:rPr>
          <w:rtl w:val="0"/>
        </w:rPr>
        <w:t>.   Unfortunately, these programs all rely on proprietary transcript formats, and are not linked to any publicly accessible database.  As a result, researchers who are interested in coding corpora currently in TalkBank need to rely on the QDA tools provided in CLAN.  These tools include the following components:</w:t>
      </w:r>
    </w:p>
    <w:p>
      <w:pPr>
        <w:pStyle w:val="Enumerate"/>
        <w:numPr>
          <w:ilvl w:val="0"/>
          <w:numId w:val="5"/>
        </w:numPr>
        <w:bidi w:val="0"/>
      </w:pPr>
      <w:r>
        <w:rPr>
          <w:rtl w:val="0"/>
        </w:rPr>
        <w:t>The Coder</w:t>
      </w:r>
      <w:r>
        <w:rPr>
          <w:rtl w:val="0"/>
        </w:rPr>
        <w:t>’</w:t>
      </w:r>
      <w:r>
        <w:rPr>
          <w:rtl w:val="0"/>
        </w:rPr>
        <w:t xml:space="preserve">s Editor program facilitates exhaustive coding of a transcript in accord with a user-specific system.   The researcher first specifies a hierarchical coding structure.  A good example of this is the INCA speech act coding system </w:t>
      </w:r>
      <w:r>
        <w:rPr/>
        <w:fldChar w:fldCharType="begin" w:fldLock="0"/>
      </w:r>
      <w:r>
        <w:instrText xml:space="preserve"> ADDIN EN.CITE &lt;EndNote&gt;&lt;Cite  &gt;&lt;Author&gt;Ninio, A.&lt;/Author&gt;&lt;Year&gt;1984&lt;/Year&gt;&lt;RecNum&gt;3132&lt;/RecNum&gt;&lt;DisplayText&gt;(Ninio &amp; Wheeler, 1984)&lt;/DisplayText&gt;&lt;record&gt;&lt;database name="allrefs.enl" path="/Files/EndNote/allrefs.enl"&gt;allrefs.enl&lt;/database&gt;&lt;source-app name="EndNote" version="14.0"&gt;EndNote&lt;/source-app&gt;&lt;rec-number&gt;3132&lt;/rec-number&gt;&lt;foreign-keys&gt;&lt;key app="EN" db-id="d90vsetwrpftsqew0f8pa5d3eepftezf5xpp"&gt;3132&lt;/key&gt;&lt;/foreign-keys&gt;&lt;ref-type name="Book Section"&gt;5&lt;/ref-type&gt;&lt;contributors&gt;&lt;authors&gt;&lt;author&gt;&lt;style face="normal" font="default" size="100%"&gt;Ninio, A.&lt;/style&gt;&lt;/author&gt;&lt;author&gt;&lt;style face="normal" font="default" size="100%"&gt;Wheeler, P.&lt;/style&gt;&lt;/author&gt;&lt;/authors&gt;&lt;secondary-authors&gt;&lt;author&gt;&lt;style face="normal" font="default" size="100%"&gt;C. Garvey&lt;/style&gt;&lt;/author&gt;&lt;author&gt;&lt;style face="normal" font="default" size="100%"&gt;R Golinkoff&lt;/style&gt;&lt;/author&gt;&lt;author&gt;&lt;style face="normal" font="default" size="100%"&gt;L. Feagans&lt;/style&gt;&lt;/author&gt;&lt;/secondary-authors&gt;&lt;/contributors&gt;&lt;titles&gt;&lt;title&gt;&lt;style face="normal" font="default" size="100%"&gt;Functions of speech in mother-interaction.&lt;/style&gt;&lt;/title&gt;&lt;secondary-title&gt;&lt;style face="normal" font="default" size="100%"&gt;The Development of Communicative Competence&lt;/style&gt;&lt;/secondary-title&gt;&lt;/titles&gt;&lt;dates&gt;&lt;year&gt;&lt;style face="normal" font="default" size="100%"&gt;1984&lt;/style&gt;&lt;/year&gt;&lt;/dates&gt;&lt;pub-location&gt;&lt;style face="normal" font="default" size="100%"&gt;Norwood, NJ&lt;/style&gt;&lt;/pub-location&gt;&lt;publisher&gt;&lt;style face="normal" font="default" size="100%"&gt;Ablex&lt;/style&gt;&lt;/publisher&gt;&lt;abstract&gt;&lt;style face="normal" font="default" size="100%"&gt;incollection&lt;/style&gt;&lt;/abstract&gt;&lt;urls/&gt;&lt;/record&gt;&lt;/Cite&gt;&lt;/EndNote&gt;</w:instrText>
      </w:r>
      <w:r>
        <w:rPr/>
        <w:fldChar w:fldCharType="separate" w:fldLock="0"/>
      </w:r>
      <w:r>
        <w:rPr>
          <w:rtl w:val="0"/>
        </w:rPr>
        <w:t>(Ninio &amp; Wheeler, 1984)</w:t>
      </w:r>
      <w:r>
        <w:rPr/>
        <w:fldChar w:fldCharType="end" w:fldLock="0"/>
      </w:r>
      <w:r>
        <w:rPr>
          <w:rtl w:val="0"/>
        </w:rPr>
        <w:t xml:space="preserve"> given in the CHAT manual.  Once a coding system has been specified, the coder then goes through the transcript, line by line making a selection of the correct code for each utterance.  </w:t>
      </w:r>
    </w:p>
    <w:p>
      <w:pPr>
        <w:pStyle w:val="Enumerate"/>
        <w:numPr>
          <w:ilvl w:val="0"/>
          <w:numId w:val="3"/>
        </w:numPr>
        <w:bidi w:val="0"/>
      </w:pPr>
      <w:r>
        <w:rPr>
          <w:rtl w:val="0"/>
        </w:rPr>
        <w:t>After using COoder</w:t>
      </w:r>
      <w:r>
        <w:rPr>
          <w:rtl w:val="0"/>
        </w:rPr>
        <w:t>’</w:t>
      </w:r>
      <w:r>
        <w:rPr>
          <w:rtl w:val="0"/>
        </w:rPr>
        <w:t>s Editor, the RELY program allows one to compute reliability across two or more coders.</w:t>
      </w:r>
    </w:p>
    <w:p>
      <w:pPr>
        <w:pStyle w:val="Enumerate"/>
        <w:numPr>
          <w:ilvl w:val="0"/>
          <w:numId w:val="3"/>
        </w:numPr>
        <w:bidi w:val="0"/>
      </w:pPr>
      <w:r>
        <w:rPr>
          <w:rtl w:val="0"/>
        </w:rPr>
        <w:t xml:space="preserve">GEMs are marks the coder inserts in the transcript to surround interesting blocks of text with code words such as </w:t>
      </w:r>
      <w:r>
        <w:rPr>
          <w:rtl w:val="0"/>
        </w:rPr>
        <w:t>“</w:t>
      </w:r>
      <w:r>
        <w:rPr>
          <w:rtl w:val="0"/>
        </w:rPr>
        <w:t>book reading</w:t>
      </w:r>
      <w:r>
        <w:rPr>
          <w:rtl w:val="0"/>
        </w:rPr>
        <w:t xml:space="preserve">” </w:t>
      </w:r>
      <w:r>
        <w:rPr>
          <w:rtl w:val="0"/>
        </w:rPr>
        <w:t xml:space="preserve">or </w:t>
      </w:r>
      <w:r>
        <w:rPr>
          <w:rtl w:val="0"/>
        </w:rPr>
        <w:t>“</w:t>
      </w:r>
      <w:r>
        <w:rPr>
          <w:rtl w:val="0"/>
        </w:rPr>
        <w:t>political discussion</w:t>
      </w:r>
      <w:r>
        <w:rPr>
          <w:rtl w:val="0"/>
        </w:rPr>
        <w:t>”</w:t>
      </w:r>
      <w:r>
        <w:rPr>
          <w:rtl w:val="0"/>
        </w:rPr>
        <w:t xml:space="preserve">.  Later on, programs can use these marks to focus analyses on the relevant blocks or </w:t>
      </w:r>
      <w:r>
        <w:rPr>
          <w:rtl w:val="0"/>
        </w:rPr>
        <w:t>“</w:t>
      </w:r>
      <w:r>
        <w:rPr>
          <w:rtl w:val="0"/>
        </w:rPr>
        <w:t>gems</w:t>
      </w:r>
      <w:r>
        <w:rPr>
          <w:rtl w:val="0"/>
        </w:rPr>
        <w:t>”</w:t>
      </w:r>
      <w:r>
        <w:rPr>
          <w:rtl w:val="0"/>
        </w:rPr>
        <w:t>.</w:t>
      </w:r>
    </w:p>
    <w:p>
      <w:pPr>
        <w:pStyle w:val="Enumerate"/>
        <w:numPr>
          <w:ilvl w:val="0"/>
          <w:numId w:val="3"/>
        </w:numPr>
        <w:bidi w:val="0"/>
      </w:pPr>
      <w:r>
        <w:rPr>
          <w:rtl w:val="0"/>
        </w:rPr>
        <w:t>CLAN also allows users to insert codes on any number of additional coding lines such as %coh for cohension analysis, etc.</w:t>
      </w:r>
    </w:p>
    <w:p>
      <w:pPr>
        <w:pStyle w:val="Enumerate"/>
        <w:numPr>
          <w:ilvl w:val="0"/>
          <w:numId w:val="3"/>
        </w:numPr>
        <w:bidi w:val="0"/>
      </w:pPr>
      <w:r>
        <w:rPr>
          <w:rtl w:val="0"/>
        </w:rPr>
        <w:t xml:space="preserve">The TalkBank system also provides a method for work groups to enter blogs or commentary for multimedia linked transcripts on web at </w:t>
      </w:r>
      <w:r>
        <w:rPr>
          <w:rStyle w:val="Hyperlink.1"/>
        </w:rPr>
        <w:fldChar w:fldCharType="begin" w:fldLock="0"/>
      </w:r>
      <w:r>
        <w:rPr>
          <w:rStyle w:val="Hyperlink.1"/>
        </w:rPr>
        <w:instrText xml:space="preserve"> HYPERLINK "http://talkbank.org/browser"</w:instrText>
      </w:r>
      <w:r>
        <w:rPr>
          <w:rStyle w:val="Hyperlink.1"/>
        </w:rPr>
        <w:fldChar w:fldCharType="separate" w:fldLock="0"/>
      </w:r>
      <w:r>
        <w:rPr>
          <w:rStyle w:val="Hyperlink.1"/>
          <w:rtl w:val="0"/>
        </w:rPr>
        <w:t>http://talkbank.org/browser</w:t>
      </w:r>
      <w:r>
        <w:rPr/>
        <w:fldChar w:fldCharType="end" w:fldLock="0"/>
      </w:r>
      <w:r>
        <w:rPr>
          <w:rtl w:val="0"/>
        </w:rPr>
        <w:t xml:space="preserve">.  After registering for this system </w:t>
      </w:r>
      <w:r>
        <w:rPr/>
        <w:fldChar w:fldCharType="begin" w:fldLock="0"/>
      </w:r>
      <w:r>
        <w:instrText xml:space="preserve"> ADDIN EN.CITE &lt;EndNote&gt;&lt;Cite  &gt;&lt;Author&gt;MacWhinney, B.&lt;/Author&gt;&lt;Year&gt;2004&lt;/Year&gt;&lt;RecNum&gt;9794&lt;/RecNum&gt;&lt;DisplayText&gt;(MacWhinney et al., 2004)&lt;/DisplayText&gt;&lt;record&gt;&lt;database name="allrefs.enl" path="/Files/EndNote/allrefs.enl"&gt;allrefs.enl&lt;/database&gt;&lt;source-app name="EndNote" version="14.0"&gt;EndNote&lt;/source-app&gt;&lt;rec-number&gt;9794&lt;/rec-number&gt;&lt;foreign-keys&gt;&lt;key app="EN" db-id="d90vsetwrpftsqew0f8pa5d3eepftezf5xpp"&gt;9794&lt;/key&gt;&lt;/foreign-keys&gt;&lt;ref-type name="Book Section"&gt;5&lt;/ref-type&gt;&lt;contributors&gt;&lt;authors&gt;&lt;author&gt;&lt;style face="normal" font="default" size="100%"&gt;MacWhinney, B.&lt;/style&gt;&lt;/author&gt;&lt;author&gt;&lt;style face="normal" font="default" size="100%"&gt;Martell, C.&lt;/style&gt;&lt;/author&gt;&lt;author&gt;&lt;style face="normal" font="default" size="100%"&gt;Schmidt, T.&lt;/style&gt;&lt;/author&gt;&lt;author&gt;&lt;style face="normal" font="default" size="100%"&gt;Wagner, J.&lt;/style&gt;&lt;/author&gt;&lt;author&gt;&lt;style face="normal" font="default" size="100%"&gt;Wittenburgh, P.&lt;/style&gt;&lt;/author&gt;&lt;author&gt;&lt;style face="normal" font="default" size="100%"&gt;Brugman, H.&lt;/style&gt;&lt;/author&gt;&lt;author&gt;&lt;style face="normal" font="default" size="100%"&gt;Broeder, D.&lt;/style&gt;&lt;/author&gt;&lt;author&gt;&lt;style face="normal" font="default" size="100%"&gt;Hoffert, E.&lt;/style&gt;&lt;/author&gt;&lt;/authors&gt;&lt;/contributors&gt;&lt;titles&gt;&lt;title&gt;&lt;style face="normal" font="default" size="100%"&gt;Collaborative commentary: Opening up spoken language databases&lt;/style&gt;&lt;/title&gt;&lt;secondary-title&gt;&lt;style face="normal" font="default" size="100%"&gt;LREC 2004&lt;/style&gt;&lt;/secondary-title&gt;&lt;/titles&gt;&lt;pages&gt;&lt;style face="normal" font="default" size="100%"&gt;11-15&lt;/style&gt;&lt;/pages&gt;&lt;dates&gt;&lt;year&gt;&lt;style face="normal" font="default" size="100%"&gt;2004&lt;/style&gt;&lt;/year&gt;&lt;/dates&gt;&lt;pub-location&gt;&lt;style face="normal" font="default" size="100%"&gt;Lisbon&lt;/style&gt;&lt;/pub-location&gt;&lt;publisher&gt;&lt;style face="normal" font="default" size="100%"&gt;LREC&lt;/style&gt;&lt;/publisher&gt;&lt;urls/&gt;&lt;/record&gt;&lt;/Cite&gt;&lt;/EndNote&gt;</w:instrText>
      </w:r>
      <w:r>
        <w:rPr/>
        <w:fldChar w:fldCharType="separate" w:fldLock="0"/>
      </w:r>
      <w:r>
        <w:rPr>
          <w:rtl w:val="0"/>
        </w:rPr>
        <w:t>(MacWhinney et al., 2004)</w:t>
      </w:r>
      <w:r>
        <w:rPr/>
        <w:fldChar w:fldCharType="end" w:fldLock="0"/>
      </w:r>
      <w:r>
        <w:rPr>
          <w:rtl w:val="0"/>
        </w:rPr>
        <w:t>, users can see comments from others in their work group and add additional comments of their own.  Commentary can also be coded by type, date, and other parameters.</w:t>
      </w:r>
    </w:p>
    <w:p>
      <w:pPr>
        <w:pStyle w:val="Enumerate"/>
        <w:numPr>
          <w:ilvl w:val="0"/>
          <w:numId w:val="3"/>
        </w:numPr>
        <w:bidi w:val="0"/>
      </w:pPr>
      <w:r>
        <w:rPr>
          <w:rtl w:val="0"/>
        </w:rPr>
        <w:t>Gesture analysis in systems such as ELAN (</w:t>
      </w:r>
      <w:r>
        <w:rPr>
          <w:rStyle w:val="Hyperlink.1"/>
        </w:rPr>
        <w:fldChar w:fldCharType="begin" w:fldLock="0"/>
      </w:r>
      <w:r>
        <w:rPr>
          <w:rStyle w:val="Hyperlink.1"/>
        </w:rPr>
        <w:instrText xml:space="preserve"> HYPERLINK "http://www.lat-mpi.eu/tools/elan/"</w:instrText>
      </w:r>
      <w:r>
        <w:rPr>
          <w:rStyle w:val="Hyperlink.1"/>
        </w:rPr>
        <w:fldChar w:fldCharType="separate" w:fldLock="0"/>
      </w:r>
      <w:r>
        <w:rPr>
          <w:rStyle w:val="Hyperlink.1"/>
          <w:rtl w:val="0"/>
        </w:rPr>
        <w:t>http://www.lat-mpi.eu/tools/elan/</w:t>
      </w:r>
      <w:r>
        <w:rPr/>
        <w:fldChar w:fldCharType="end" w:fldLock="0"/>
      </w:r>
      <w:r>
        <w:rPr>
          <w:rtl w:val="0"/>
        </w:rPr>
        <w:t xml:space="preserve">) or Anvil </w:t>
      </w:r>
      <w:r>
        <w:rPr/>
        <w:fldChar w:fldCharType="begin" w:fldLock="0"/>
      </w:r>
      <w:r>
        <w:instrText xml:space="preserve"> ADDIN EN.CITE &lt;EndNote&gt;&lt;Cite  &gt;&lt;Author&gt;Kipp, M.&lt;/Author&gt;&lt;Year&gt;2001&lt;/Year&gt;&lt;RecNum&gt;9647&lt;/RecNum&gt;&lt;DisplayText&gt;(Kipp, 2001)&lt;/DisplayText&gt;&lt;record&gt;&lt;database name="allrefs.enl" path="/Files/EndNote/allrefs.enl"&gt;allrefs.enl&lt;/database&gt;&lt;source-app name="EndNote" version="14.0"&gt;EndNote&lt;/source-app&gt;&lt;rec-number&gt;9647&lt;/rec-number&gt;&lt;foreign-keys&gt;&lt;key app="EN" db-id="d90vsetwrpftsqew0f8pa5d3eepftezf5xpp"&gt;9647&lt;/key&gt;&lt;/foreign-keys&gt;&lt;ref-type name="Conference Proceedings"&gt;10&lt;/ref-type&gt;&lt;contributors&gt;&lt;authors&gt;&lt;author&gt;&lt;style face="normal" font="default" size="100%"&gt;Kipp, M.&lt;/style&gt;&lt;/author&gt;&lt;/authors&gt;&lt;/contributors&gt;&lt;titles&gt;&lt;title&gt;&lt;style face="normal" font="default" size="100%"&gt;ANVIL: A generic annotation tool for multimodal dialogue&lt;/style&gt;&lt;/title&gt;&lt;secondary-title&gt;&lt;style face="normal" font="default" size="100%"&gt;Proceedings of Eurospeech 2001&lt;/style&gt;&lt;/secondary-title&gt;&lt;/titles&gt;&lt;keywords&gt;&lt;keyword&gt;&lt;style face="normal" font="default" size="100%"&gt;DIVER&lt;/style&gt;&lt;/keyword&gt;&lt;/keywords&gt;&lt;dates&gt;&lt;year&gt;&lt;style face="normal" font="default" size="100%"&gt;2001&lt;/style&gt;&lt;/year&gt;&lt;/dates&gt;&lt;pub-location&gt;&lt;style face="normal" font="default" size="100%"&gt;Scandanavia&lt;/style&gt;&lt;/pub-location&gt;&lt;urls/&gt;&lt;/record&gt;&lt;/Cite&gt;&lt;/EndNote&gt;</w:instrText>
      </w:r>
      <w:r>
        <w:rPr/>
        <w:fldChar w:fldCharType="separate" w:fldLock="0"/>
      </w:r>
      <w:r>
        <w:rPr>
          <w:rtl w:val="0"/>
        </w:rPr>
        <w:t>(Kipp, 2001)</w:t>
      </w:r>
      <w:r>
        <w:rPr/>
        <w:fldChar w:fldCharType="end" w:fldLock="0"/>
      </w:r>
      <w:r>
        <w:rPr>
          <w:rtl w:val="0"/>
        </w:rPr>
        <w:t xml:space="preserve"> provides very accurate alignment of speech to gesture.  To interface with these programs, CLAN provides converters between CHAT XML and ELAN or Anvil XML.  There are good reasons to consider use of both CLAN and ELAN (or Anvil) for gesture analysis. </w:t>
      </w:r>
      <w:r>
        <w:drawing>
          <wp:anchor distT="152400" distB="152400" distL="152400" distR="152400" simplePos="0" relativeHeight="251659264" behindDoc="0" locked="0" layoutInCell="1" allowOverlap="1">
            <wp:simplePos x="0" y="0"/>
            <wp:positionH relativeFrom="page">
              <wp:posOffset>3721100</wp:posOffset>
            </wp:positionH>
            <wp:positionV relativeFrom="page">
              <wp:posOffset>5321300</wp:posOffset>
            </wp:positionV>
            <wp:extent cx="2709845" cy="3517901"/>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tortur.jpg"/>
                    <pic:cNvPicPr>
                      <a:picLocks noChangeAspect="1"/>
                    </pic:cNvPicPr>
                  </pic:nvPicPr>
                  <pic:blipFill>
                    <a:blip r:embed="rId9">
                      <a:extLst/>
                    </a:blip>
                    <a:stretch>
                      <a:fillRect/>
                    </a:stretch>
                  </pic:blipFill>
                  <pic:spPr>
                    <a:xfrm>
                      <a:off x="0" y="0"/>
                      <a:ext cx="2709845" cy="3517901"/>
                    </a:xfrm>
                    <a:prstGeom prst="rect">
                      <a:avLst/>
                    </a:prstGeom>
                    <a:ln w="12700" cap="flat">
                      <a:noFill/>
                      <a:miter lim="400000"/>
                    </a:ln>
                    <a:effectLst/>
                  </pic:spPr>
                </pic:pic>
              </a:graphicData>
            </a:graphic>
          </wp:anchor>
        </w:drawing>
      </w:r>
      <w:r>
        <w:drawing>
          <wp:anchor distT="152400" distB="152400" distL="152400" distR="152400" simplePos="0" relativeHeight="251660288" behindDoc="0" locked="0" layoutInCell="1" allowOverlap="1">
            <wp:simplePos x="0" y="0"/>
            <wp:positionH relativeFrom="page">
              <wp:posOffset>901700</wp:posOffset>
            </wp:positionH>
            <wp:positionV relativeFrom="page">
              <wp:posOffset>5397500</wp:posOffset>
            </wp:positionV>
            <wp:extent cx="2692401" cy="265442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all.jpg"/>
                    <pic:cNvPicPr>
                      <a:picLocks noChangeAspect="1"/>
                    </pic:cNvPicPr>
                  </pic:nvPicPr>
                  <pic:blipFill>
                    <a:blip r:embed="rId10">
                      <a:extLst/>
                    </a:blip>
                    <a:stretch>
                      <a:fillRect/>
                    </a:stretch>
                  </pic:blipFill>
                  <pic:spPr>
                    <a:xfrm>
                      <a:off x="0" y="0"/>
                      <a:ext cx="2692401" cy="2654420"/>
                    </a:xfrm>
                    <a:prstGeom prst="rect">
                      <a:avLst/>
                    </a:prstGeom>
                    <a:ln w="12700" cap="flat">
                      <a:noFill/>
                      <a:miter lim="400000"/>
                    </a:ln>
                    <a:effectLst/>
                  </pic:spPr>
                </pic:pic>
              </a:graphicData>
            </a:graphic>
          </wp:anchor>
        </w:drawing>
      </w:r>
      <w:r>
        <w:rPr>
          <w:rtl w:val="0"/>
        </w:rPr>
        <w:t xml:space="preserve"> Within ELAN and Anvil, the screen territory tends to become cluttered with coding tiers. Moreover, it is difficult to get an standard textual overview of the interaction in combination with the gestures. To address this problem, CLAN allows transcribers to nest small files within larger files using hot links.  Within the overall transcript for a session, the user clicks a bullet to open up a second embedded transcript, much like zooming in with a microscope.  At the second level, a gesture sequence is described and coded in detail and further bullets are available to play back segments of the gesture from thumbnail icons or to open up a third level of gesture analysis.  This approach tends to focus on the analysis of gesture sequences, as in Kendon </w:t>
      </w:r>
      <w:r>
        <w:rPr/>
        <w:fldChar w:fldCharType="begin" w:fldLock="0"/>
      </w:r>
      <w:r>
        <w:instrText xml:space="preserve"> ADDIN EN.CITE &lt;EndNote&gt;&lt;Cite ExcludeAuth="1" &gt;&lt;DisplayText&gt;(1982)&lt;/DisplayText&gt;&lt;record&gt;&lt;database name="allrefs.enl" path="/Files/EndNote/allrefs.enl"&gt;allrefs.enl&lt;/database&gt;&lt;source-app name="EndNote" version="14.0"&gt;EndNote&lt;/source-app&gt;&lt;rec-number&gt;9645&lt;/rec-number&gt;&lt;foreign-keys&gt;&lt;key app="EN" db-id="d90vsetwrpftsqew0f8pa5d3eepftezf5xpp"&gt;9645&lt;/key&gt;&lt;/foreign-keys&gt;&lt;ref-type name="Journal Article"&gt;17&lt;/ref-type&gt;&lt;contributors&gt;&lt;authors&gt;&lt;author&gt;&lt;style face="normal" font="default" size="100%"&gt;Kendon, A.&lt;/style&gt;&lt;/author&gt;&lt;/authors&gt;&lt;/contributors&gt;&lt;titles&gt;&lt;title&gt;&lt;style face="normal" font="default" size="100%"&gt;The study of gesture: Some observations on its history&lt;/style&gt;&lt;/title&gt;&lt;secondary-title&gt;&lt;style face="normal" font="default" size="100%"&gt;Recherches Sémiotiques/Semiotic Inquiry&lt;/style&gt;&lt;/secondary-title&gt;&lt;/titles&gt;&lt;pages&gt;&lt;style face="normal" font="default" size="100%"&gt;45-62&lt;/style&gt;&lt;/pages&gt;&lt;volume&gt;&lt;style face="normal" font="default" size="100%"&gt;2&lt;/style&gt;&lt;/volume&gt;&lt;number&gt;&lt;style face="normal" font="default" size="100%"&gt;1&lt;/style&gt;&lt;/number&gt;&lt;keywords&gt;&lt;keyword&gt;&lt;style face="normal" font="default" size="100%"&gt;DIVER&lt;/style&gt;&lt;/keyword&gt;&lt;/keywords&gt;&lt;dates&gt;&lt;year&gt;&lt;style face="normal" font="default" size="100%"&gt;1982&lt;/style&gt;&lt;/year&gt;&lt;/dates&gt;&lt;urls/&gt;&lt;/record&gt;&lt;/Cite&gt;&lt;/EndNote&gt;</w:instrText>
      </w:r>
      <w:r>
        <w:rPr/>
        <w:fldChar w:fldCharType="separate" w:fldLock="0"/>
      </w:r>
      <w:r>
        <w:rPr>
          <w:rtl w:val="0"/>
        </w:rPr>
        <w:t>(1982)</w:t>
      </w:r>
      <w:r>
        <w:rPr/>
        <w:fldChar w:fldCharType="end" w:fldLock="0"/>
      </w:r>
      <w:r>
        <w:rPr>
          <w:rtl w:val="0"/>
        </w:rPr>
        <w:t xml:space="preserve">.  These screen shots show what this coding looks like for an interaction in Danish. The main text window is on the left. When the user clicks on the line labeled </w:t>
      </w:r>
      <w:r>
        <w:rPr>
          <w:rtl w:val="0"/>
        </w:rPr>
        <w:t>“</w:t>
      </w:r>
      <w:r>
        <w:rPr>
          <w:rtl w:val="0"/>
        </w:rPr>
        <w:t>torture time sequence</w:t>
      </w:r>
      <w:r>
        <w:rPr>
          <w:rtl w:val="0"/>
        </w:rPr>
        <w:t>”</w:t>
      </w:r>
      <w:r>
        <w:rPr>
          <w:rtl w:val="0"/>
        </w:rPr>
        <w:t>, the window on the right pops up allowing for detailed coding of the gesture sequence for that passage.</w:t>
      </w:r>
    </w:p>
    <w:p>
      <w:pPr>
        <w:pStyle w:val="Enumerate"/>
      </w:pPr>
    </w:p>
    <w:p>
      <w:pPr>
        <w:pStyle w:val="Enumerate"/>
      </w:pPr>
    </w:p>
    <w:p>
      <w:pPr>
        <w:pStyle w:val="Enumerate"/>
      </w:pPr>
    </w:p>
    <w:p>
      <w:pPr>
        <w:pStyle w:val="Enumerate"/>
      </w:pPr>
    </w:p>
    <w:p>
      <w:pPr>
        <w:pStyle w:val="Enumerate"/>
        <w:rPr>
          <w:rStyle w:val="Default Paragraph Font.0"/>
        </w:rPr>
      </w:pPr>
    </w:p>
    <w:p>
      <w:pPr>
        <w:pStyle w:val="Heading 2"/>
        <w:numPr>
          <w:ilvl w:val="1"/>
          <w:numId w:val="1"/>
        </w:numPr>
        <w:bidi w:val="0"/>
        <w:rPr>
          <w:rStyle w:val="Default Paragraph Font.0"/>
          <w:sz w:val="20"/>
          <w:szCs w:val="20"/>
        </w:rPr>
      </w:pPr>
      <w:r>
        <w:rPr>
          <w:rStyle w:val="Default Paragraph Font.0"/>
          <w:rtl w:val="0"/>
          <w:lang w:val="it-IT"/>
        </w:rPr>
        <w:t xml:space="preserve"> Automatic Tagging</w:t>
      </w:r>
    </w:p>
    <w:p>
      <w:pPr>
        <w:pStyle w:val="Normal.0"/>
        <w:bidi w:val="0"/>
      </w:pPr>
      <w:r>
        <w:rPr>
          <w:rtl w:val="0"/>
        </w:rPr>
        <w:t xml:space="preserve">As corpora grow in size, and as research questions proliferate, it becomes increasingly important to enter codes automatically, rather than tediously by hand.  For some domains, automatic coding is still a distant goal, but for others it is possible now.  The three areas for which CLAN can now provide automatic coding or tagging include morphosyntax, grammatical relations, and phonology. </w:t>
      </w:r>
    </w:p>
    <w:p>
      <w:pPr>
        <w:pStyle w:val="Enumerate"/>
        <w:numPr>
          <w:ilvl w:val="0"/>
          <w:numId w:val="6"/>
        </w:numPr>
        <w:bidi w:val="0"/>
      </w:pPr>
      <w:r>
        <w:rPr>
          <w:rtl w:val="0"/>
        </w:rPr>
        <w:t xml:space="preserve"> </w:t>
      </w:r>
      <w:r>
        <w:rPr>
          <w:b w:val="1"/>
          <w:bCs w:val="1"/>
          <w:rtl w:val="0"/>
          <w:lang w:val="en-US"/>
        </w:rPr>
        <w:t>MOR and POST</w:t>
      </w:r>
      <w:r>
        <w:rPr>
          <w:rtl w:val="0"/>
        </w:rPr>
        <w:t xml:space="preserve">.  For morphological tagging and disambiguation, CLAN relies on the MOR and POST programs, as documented in MacWhinney </w:t>
      </w:r>
      <w:r>
        <w:rPr/>
        <w:fldChar w:fldCharType="begin" w:fldLock="0"/>
      </w:r>
      <w:r>
        <w:instrText xml:space="preserve"> ADDIN EN.CITE &lt;EndNote&gt;&lt;Cite ExcludeAuth="1" &gt;&lt;Author&gt;MacWhinney, B.&lt;/Author&gt;&lt;Year&gt;2008&lt;/Year&gt;&lt;RecNum&gt;10351&lt;/RecNum&gt;&lt;DisplayText&gt;(2008b)&lt;/DisplayText&gt;&lt;record&gt;&lt;database name="allrefs.enl" path="/Files/EndNote/allrefs.enl"&gt;allrefs.enl&lt;/database&gt;&lt;source-app name="EndNote" version="14.0"&gt;EndNote&lt;/source-app&gt;&lt;rec-number&gt;10351&lt;/rec-number&gt;&lt;foreign-keys&gt;&lt;key app="EN" db-id="d90vsetwrpftsqew0f8pa5d3eepftezf5xpp"&gt;10351&lt;/key&gt;&lt;/foreign-keys&gt;&lt;ref-type name="Book Section"&gt;5&lt;/ref-type&gt;&lt;contributors&gt;&lt;authors&gt;&lt;author&gt;&lt;style face="normal" font="default" size="100%"&gt;MacWhinney, B.&lt;/style&gt;&lt;/author&gt;&lt;/authors&gt;&lt;secondary-authors&gt;&lt;author&gt;&lt;style face="normal" font="default" size="100%"&gt;Behrens, H.&lt;/style&gt;&lt;/author&gt;&lt;/secondary-authors&gt;&lt;/contributors&gt;&lt;titles&gt;&lt;title&gt;&lt;style face="normal" font="default" size="100%"&gt;Enriching CHILDES for morphosyntactic analysis&lt;/style&gt;&lt;/title&gt;&lt;secondary-title&gt;&lt;style face="normal" font="default" size="100%"&gt;Trends in corpus research: Finding structure in data&lt;/style&gt;&lt;/secondary-title&gt;&lt;/titles&gt;&lt;pages&gt;&lt;style face="normal" font="default" size="100%"&gt;165-198&lt;/style&gt;&lt;/pages&gt;&lt;dates&gt;&lt;year&gt;&lt;style face="normal" font="default" size="100%"&gt;2008&lt;/style&gt;&lt;/year&gt;&lt;/dates&gt;&lt;pub-location&gt;&lt;style face="normal" font="default" size="100%"&gt;Amsterdam&lt;/style&gt;&lt;/pub-location&gt;&lt;publisher&gt;&lt;style face="normal" font="default" size="100%"&gt;John Benjamins&lt;/style&gt;&lt;/publisher&gt;&lt;urls/&gt;&lt;/record&gt;&lt;/Cite&gt;&lt;/EndNote&gt;</w:instrText>
      </w:r>
      <w:r>
        <w:rPr/>
        <w:fldChar w:fldCharType="separate" w:fldLock="0"/>
      </w:r>
      <w:r>
        <w:rPr>
          <w:rtl w:val="0"/>
        </w:rPr>
        <w:t>(2008b)</w:t>
      </w:r>
      <w:r>
        <w:rPr/>
        <w:fldChar w:fldCharType="end" w:fldLock="0"/>
      </w:r>
      <w:r>
        <w:rPr>
          <w:rtl w:val="0"/>
        </w:rPr>
        <w:t xml:space="preserve">. MOR provides not only a tagging of the part of speech of the word, but also a full analysis of its morphological composition.  We now have open-source MOR taggers with user-modifiable lexicons and rule systems for Afrikaans, Cantonese, Dutch, English, French, German, Italian, Japanese, Mandarin, and Spanish. After tagging by MOR, the user runs the POST disambiguator </w:t>
      </w:r>
      <w:r>
        <w:rPr/>
        <w:fldChar w:fldCharType="begin" w:fldLock="0"/>
      </w:r>
      <w:r>
        <w:instrText xml:space="preserve"> ADDIN EN.CITE &lt;EndNote&gt;&lt;Cite  &gt;&lt;Author&gt;Parisse, C.&lt;/Author&gt;&lt;Year&gt;2000&lt;/Year&gt;&lt;RecNum&gt;8266&lt;/RecNum&gt;&lt;DisplayText&gt;(Parisse &amp; Le Normand, 2000)&lt;/DisplayText&gt;&lt;record&gt;&lt;database name="allrefs.enl" path="/Files/EndNote/allrefs.enl"&gt;allrefs.enl&lt;/database&gt;&lt;source-app name="EndNote" version="14.0"&gt;EndNote&lt;/source-app&gt;&lt;rec-number&gt;8266&lt;/rec-number&gt;&lt;foreign-keys&gt;&lt;key app="EN" db-id="d90vsetwrpftsqew0f8pa5d3eepftezf5xpp"&gt;8266&lt;/key&gt;&lt;/foreign-keys&gt;&lt;ref-type name="Journal Article"&gt;17&lt;/ref-type&gt;&lt;contributors&gt;&lt;authors&gt;&lt;author&gt;&lt;style face="normal" font="default" size="100%"&gt;Parisse, C.&lt;/style&gt;&lt;/author&gt;&lt;author&gt;&lt;style face="normal" font="default" size="100%"&gt;Le Normand, M. T.&lt;/style&gt;&lt;/author&gt;&lt;/authors&gt;&lt;/contributors&gt;&lt;titles&gt;&lt;title&gt;&lt;style face="normal" font="default" size="100%"&gt;Automatic disambiguation of the morphosyntax in spoken language corpora&lt;/style&gt;&lt;/title&gt;&lt;secondary-title&gt;&lt;style face="normal" font="default" size="100%"&gt;Behavior Research Methods, Instruments, and Computers&lt;/style&gt;&lt;/secondary-title&gt;&lt;/titles&gt;&lt;periodical&gt;&lt;full-title&gt;&lt;style face="normal" font="default" size="100%"&gt;Behavior Research Methods, Instruments, and Computers&lt;/style&gt;&lt;/full-title&gt;&lt;/periodical&gt;&lt;pages&gt;&lt;style face="normal" font="default" size="100%"&gt;468-481&lt;/style&gt;&lt;/pages&gt;&lt;volume&gt;&lt;style face="normal" font="default" size="100%"&gt;32&lt;/style&gt;&lt;/volume&gt;&lt;keywords&gt;&lt;keyword&gt;&lt;style face="normal" font="default" size="100%"&gt;CHILDES&lt;/style&gt;&lt;/keyword&gt;&lt;/keywords&gt;&lt;dates&gt;&lt;year&gt;&lt;style face="normal" font="default" size="100%"&gt;2000&lt;/style&gt;&lt;/year&gt;&lt;/dates&gt;&lt;urls/&gt;&lt;/record&gt;&lt;/Cite&gt;&lt;/EndNote&gt;</w:instrText>
      </w:r>
      <w:r>
        <w:rPr/>
        <w:fldChar w:fldCharType="separate" w:fldLock="0"/>
      </w:r>
      <w:r>
        <w:rPr>
          <w:rtl w:val="0"/>
        </w:rPr>
        <w:t>(Parisse &amp; Le Normand, 2000)</w:t>
      </w:r>
      <w:r>
        <w:rPr/>
        <w:fldChar w:fldCharType="end" w:fldLock="0"/>
      </w:r>
      <w:r>
        <w:rPr>
          <w:rtl w:val="0"/>
        </w:rPr>
        <w:t>. The accuracy of the disambiguation is well above 95%, as long as the transcription is accurate on the word and utterance level.</w:t>
      </w:r>
    </w:p>
    <w:p>
      <w:pPr>
        <w:pStyle w:val="Enumerate"/>
        <w:numPr>
          <w:ilvl w:val="0"/>
          <w:numId w:val="3"/>
        </w:numPr>
        <w:bidi w:val="0"/>
      </w:pPr>
      <w:r>
        <w:rPr>
          <w:b w:val="1"/>
          <w:bCs w:val="1"/>
          <w:rtl w:val="0"/>
          <w:lang w:val="en-US"/>
        </w:rPr>
        <w:t>GRASP</w:t>
      </w:r>
      <w:r>
        <w:rPr>
          <w:rtl w:val="0"/>
        </w:rPr>
        <w:t xml:space="preserve">.  After analysis by MOR and POST, it is possible to run the GRASP program </w:t>
      </w:r>
      <w:r>
        <w:rPr/>
        <w:fldChar w:fldCharType="begin" w:fldLock="0"/>
      </w:r>
      <w:r>
        <w:instrText xml:space="preserve"> ADDIN EN.CITE &lt;EndNote&gt;&lt;Cite  &gt;&lt;Author&gt;Sagae, K.&lt;/Author&gt;&lt;Year&gt;2010&lt;/Year&gt;&lt;RecNum&gt;11024&lt;/RecNum&gt;&lt;DisplayText&gt;(Sagae, Davis, Lavie, MacWhinney, &amp; Wintner, 2010)&lt;/DisplayText&gt;&lt;record&gt;&lt;database name="allrefs.enl" path="/Files/EndNote/allrefs.enl"&gt;allrefs.enl&lt;/database&gt;&lt;source-app name="EndNote" version="14.0"&gt;EndNote&lt;/source-app&gt;&lt;rec-number&gt;11024&lt;/rec-number&gt;&lt;foreign-keys&gt;&lt;key app="EN" db-id="d90vsetwrpftsqew0f8pa5d3eepftezf5xpp"&gt;11024&lt;/key&gt;&lt;/foreign-keys&gt;&lt;ref-type name="Journal Article"&gt;17&lt;/ref-type&gt;&lt;contributors&gt;&lt;authors&gt;&lt;author&gt;&lt;style face="normal" font="default" size="100%"&gt;Sagae, K.&lt;/style&gt;&lt;/author&gt;&lt;author&gt;&lt;style face="normal" font="default" size="100%"&gt;Davis, E.&lt;/style&gt;&lt;/author&gt;&lt;author&gt;&lt;style face="normal" font="default" size="100%"&gt;Lavie, A.&lt;/style&gt;&lt;/author&gt;&lt;author&gt;&lt;style face="normal" font="default" size="100%"&gt;MacWhinney, B.&lt;/style&gt;&lt;/author&gt;&lt;author&gt;&lt;style face="normal" font="default" size="100%"&gt;Wintner, S.&lt;/style&gt;&lt;/author&gt;&lt;/authors&gt;&lt;/contributors&gt;&lt;titles&gt;&lt;title&gt;&lt;style face="normal" font="default" size="100%"&gt;Morphosyntactic annotation of CHILDES transcripts&lt;/style&gt;&lt;/title&gt;&lt;secondary-title&gt;&lt;style face="normal" font="default" size="100%"&gt;Journal of Child Language&lt;/style&gt;&lt;/secondary-title&gt;&lt;/titles&gt;&lt;periodical&gt;&lt;full-title&gt;&lt;style face="normal" font="default" size="100%"&gt;Journal of Child Language&lt;/style&gt;&lt;/full-title&gt;&lt;/periodical&gt;&lt;pages&gt;&lt;style face="normal" font="default" size="100%"&gt;705-729&lt;/style&gt;&lt;/pages&gt;&lt;volume&gt;&lt;style face="normal" font="default" size="100%"&gt;37&lt;/style&gt;&lt;/volume&gt;&lt;dates&gt;&lt;year&gt;&lt;style face="normal" font="default" size="100%"&gt;2010&lt;/style&gt;&lt;/year&gt;&lt;/dates&gt;&lt;urls/&gt;&lt;/record&gt;&lt;/Cite&gt;&lt;/EndNote&gt;</w:instrText>
      </w:r>
      <w:r>
        <w:rPr/>
        <w:fldChar w:fldCharType="separate" w:fldLock="0"/>
      </w:r>
      <w:r>
        <w:rPr>
          <w:rtl w:val="0"/>
        </w:rPr>
        <w:t>(Sagae, Davis, Lavie, MacWhinney, &amp; Wintner, 2010)</w:t>
      </w:r>
      <w:r>
        <w:rPr/>
        <w:fldChar w:fldCharType="end" w:fldLock="0"/>
      </w:r>
      <w:r>
        <w:rPr>
          <w:rtl w:val="0"/>
        </w:rPr>
        <w:t xml:space="preserve"> to automatically construct a labelled dependency graph, based on a set of user-specified grammatical relations (GRs), such as Adjunct, Subject, or Complement.  Although we have GRASP taggers now for English, Japanese, Spanish, and Mandarin, each of these systems is new and further work is needed to improve tagging accuracy.</w:t>
      </w:r>
    </w:p>
    <w:p>
      <w:pPr>
        <w:pStyle w:val="Enumerate"/>
        <w:numPr>
          <w:ilvl w:val="0"/>
          <w:numId w:val="3"/>
        </w:numPr>
        <w:bidi w:val="0"/>
      </w:pPr>
      <w:r>
        <w:rPr>
          <w:b w:val="1"/>
          <w:bCs w:val="1"/>
          <w:rtl w:val="0"/>
          <w:lang w:val="en-US"/>
        </w:rPr>
        <w:t>Phonology</w:t>
      </w:r>
      <w:r>
        <w:rPr>
          <w:rtl w:val="0"/>
        </w:rPr>
        <w:t xml:space="preserve">. The CLAN programs have only the most limited abilities to analyze phonological features.  To address this problem, we have built a separate Java program called PHON </w:t>
      </w:r>
      <w:r>
        <w:rPr/>
        <w:fldChar w:fldCharType="begin" w:fldLock="0"/>
      </w:r>
      <w:r>
        <w:instrText xml:space="preserve"> ADDIN EN.CITE &lt;EndNote&gt;&lt;Cite  &gt;&lt;Author&gt;Rose, Y.&lt;/Author&gt;&lt;Year&gt;in press&lt;/Year&gt;&lt;RecNum&gt;11035&lt;/RecNum&gt;&lt;DisplayText&gt;(Rose &amp; MacWhinney, in press; Rose et al., in press)&lt;/DisplayText&gt;&lt;record&gt;&lt;database name="allrefs.enl" path="/Files/EndNote/allrefs.enl"&gt;allrefs.enl&lt;/database&gt;&lt;source-app name="EndNote" version="14.0"&gt;EndNote&lt;/source-app&gt;&lt;rec-number&gt;11035&lt;/rec-number&gt;&lt;foreign-keys&gt;&lt;key app="EN" db-id="d90vsetwrpftsqew0f8pa5d3eepftezf5xpp"&gt;11035&lt;/key&gt;&lt;/foreign-keys&gt;&lt;ref-type name="Book Section"&gt;5&lt;/ref-type&gt;&lt;contributors&gt;&lt;authors&gt;&lt;author&gt;&lt;style face="normal" font="default" size="100%"&gt;Rose, Y.&lt;/style&gt;&lt;/author&gt;&lt;author&gt;&lt;style face="normal" font="default" size="100%"&gt;MacWhinney, B&lt;/style&gt;&lt;/author&gt;&lt;/authors&gt;&lt;/contributors&gt;&lt;titles&gt;&lt;title&gt;&lt;style face="normal" font="default" size="100%"&gt;The Phon and PhonBank initiatives&lt;/style&gt;&lt;/title&gt;&lt;/titles&gt;&lt;dates&gt;&lt;year&gt;&lt;style face="normal" font="default" size="100%"&gt;in press&lt;/style&gt;&lt;/year&gt;&lt;/dates&gt;&lt;urls/&gt;&lt;/record&gt;&lt;/Cite&gt;&lt;Cite  &gt;&lt;Author&gt;Rose, Y.&lt;/Author&gt;&lt;Year&gt;in press&lt;/Year&gt;&lt;RecNum&gt;11036&lt;/RecNum&gt;&lt;record&gt;&lt;database name="allrefs.enl" path="/Files/EndNote/allrefs.enl"&gt;allrefs.enl&lt;/database&gt;&lt;source-app name="EndNote" version="14.0"&gt;EndNote&lt;/source-app&gt;&lt;rec-number&gt;11036&lt;/rec-number&gt;&lt;foreign-keys&gt;&lt;key app="EN" db-id="d90vsetwrpftsqew0f8pa5d3eepftezf5xpp"&gt;11036&lt;/key&gt;&lt;/foreign-keys&gt;&lt;ref-type name="Journal Article"&gt;17&lt;/ref-type&gt;&lt;contributors&gt;&lt;authors&gt;&lt;author&gt;&lt;style face="normal" font="default" size="100%"&gt;Rose, Y.&lt;/style&gt;&lt;/author&gt;&lt;author&gt;&lt;style face="normal" font="default" size="100%"&gt;MacWhinney, B&lt;/style&gt;&lt;/author&gt;&lt;author&gt;&lt;style face="normal" font="default" size="100%"&gt;Byrne, R.&lt;/style&gt;&lt;/author&gt;&lt;author&gt;&lt;style face="normal" font="default" size="100%"&gt;Hedlund, G.&lt;/style&gt;&lt;/author&gt;&lt;author&gt;&lt;style face="normal" font="default" size="100%"&gt;Maddocks, K.&lt;/style&gt;&lt;/author&gt;&lt;author&gt;&lt;style face="normal" font="default" size="100%"&gt;O'Brien, Pl&lt;/style&gt;&lt;/author&gt;&lt;author&gt;&lt;style face="normal" font="default" size="100%"&gt;Wareham, T.&lt;/style&gt;&lt;/author&gt;&lt;/authors&gt;&lt;/contributors&gt;&lt;titles&gt;&lt;title&gt;&lt;style face="normal" font="default" size="100%"&gt;Introducing Phon: A Software Solution for the Study of Phonological Acquisition&lt;/style&gt;&lt;/title&gt;&lt;/titles&gt;&lt;dates&gt;&lt;year&gt;&lt;style face="normal" font="default" size="100%"&gt;in press&lt;/style&gt;&lt;/year&gt;&lt;/dates&gt;&lt;urls/&gt;&lt;/record&gt;&lt;/Cite&gt;&lt;/EndNote&gt;</w:instrText>
      </w:r>
      <w:r>
        <w:rPr/>
        <w:fldChar w:fldCharType="separate" w:fldLock="0"/>
      </w:r>
      <w:r>
        <w:rPr>
          <w:rtl w:val="0"/>
        </w:rPr>
        <w:t>(Rose &amp; MacWhinney, in press; Rose et al., in press)</w:t>
      </w:r>
      <w:r>
        <w:rPr/>
        <w:fldChar w:fldCharType="end" w:fldLock="0"/>
      </w:r>
      <w:r>
        <w:rPr>
          <w:rtl w:val="0"/>
        </w:rPr>
        <w:t xml:space="preserve"> that can directly analyze files in the CLAN XML format.  Using IPA transcriptions, PHON can perform a variety of automatic analyses, such as segmentation, syllabification, and process analysis.  In addition, it provides automatic linkages to Praat for phonetic analysis.</w:t>
      </w:r>
    </w:p>
    <w:p>
      <w:pPr>
        <w:pStyle w:val="Enumerate"/>
        <w:rPr>
          <w:rStyle w:val="Default Paragraph Font.0"/>
        </w:rPr>
      </w:pPr>
      <w:r>
        <w:rPr>
          <w:rtl w:val="0"/>
          <w:lang w:val="en-US"/>
        </w:rPr>
        <w:t xml:space="preserve">In the future, we hope to extend our automatic analyses to include systems for automatic video analysis </w:t>
      </w:r>
      <w:r>
        <w:rPr/>
        <w:fldChar w:fldCharType="begin" w:fldLock="0"/>
      </w:r>
      <w:r>
        <w:instrText xml:space="preserve"> ADDIN EN.CITE &lt;EndNote&gt;&lt;Cite  &gt;&lt;Author&gt;Hauptmann, A.&lt;/Author&gt;&lt;Year&gt;2007&lt;/Year&gt;&lt;RecNum&gt;10468&lt;/RecNum&gt;&lt;DisplayText&gt;(Hauptmann, Yan, Lin, Christel, &amp; Wactlar, 2007)&lt;/DisplayText&gt;&lt;record&gt;&lt;database name="allrefs.enl" path="/Files/EndNote/allrefs.enl"&gt;allrefs.enl&lt;/database&gt;&lt;source-app name="EndNote" version="14.0"&gt;EndNote&lt;/source-app&gt;&lt;rec-number&gt;10468&lt;/rec-number&gt;&lt;foreign-keys&gt;&lt;key app="EN" db-id="d90vsetwrpftsqew0f8pa5d3eepftezf5xpp"&gt;10468&lt;/key&gt;&lt;/foreign-keys&gt;&lt;ref-type name="Journal Article"&gt;17&lt;/ref-type&gt;&lt;contributors&gt;&lt;authors&gt;&lt;author&gt;&lt;style face="normal" font="default" size="100%"&gt;Hauptmann, A.&lt;/style&gt;&lt;/author&gt;&lt;author&gt;&lt;style face="normal" font="default" size="100%"&gt;Yan, R.&lt;/style&gt;&lt;/author&gt;&lt;author&gt;&lt;style face="normal" font="default" size="100%"&gt;Lin, W-H,&lt;/style&gt;&lt;/author&gt;&lt;author&gt;&lt;style face="normal" font="default" size="100%"&gt;Christel, M.&lt;/style&gt;&lt;/author&gt;&lt;author&gt;&lt;style face="normal" font="default" size="100%"&gt;Wactlar, H.&lt;/style&gt;&lt;/author&gt;&lt;/authors&gt;&lt;/contributors&gt;&lt;titles&gt;&lt;title&gt;&lt;style face="normal" font="default" size="100%"&gt;Can high level concepts fill the semantic gap in video retrieval? A case study with broadcast news&lt;/style&gt;&lt;/title&gt;&lt;secondary-title&gt;&lt;style face="normal" font="default" size="100%"&gt; IEEE Transactions on Multimedia&lt;/style&gt;&lt;/secondary-title&gt;&lt;/titles&gt;&lt;volume&gt;&lt;style face="normal" font="default" size="100%"&gt;9&lt;/style&gt;&lt;/volume&gt;&lt;dates&gt;&lt;year&gt;&lt;style face="normal" font="default" size="100%"&gt;2007&lt;/style&gt;&lt;/year&gt;&lt;/dates&gt;&lt;urls/&gt;&lt;/record&gt;&lt;/Cite&gt;&lt;/EndNote&gt;</w:instrText>
      </w:r>
      <w:r>
        <w:rPr/>
        <w:fldChar w:fldCharType="separate" w:fldLock="0"/>
      </w:r>
      <w:r>
        <w:rPr>
          <w:rtl w:val="0"/>
          <w:lang w:val="en-US"/>
        </w:rPr>
        <w:t>(Hauptmann, Yan, Lin, Christel, &amp; Wactlar, 2007)</w:t>
      </w:r>
      <w:r>
        <w:rPr/>
        <w:fldChar w:fldCharType="end" w:fldLock="0"/>
      </w:r>
      <w:r>
        <w:rPr>
          <w:rtl w:val="0"/>
          <w:lang w:val="en-US"/>
        </w:rPr>
        <w:t xml:space="preserve">, psychological mood coding </w:t>
      </w:r>
      <w:r>
        <w:rPr/>
        <w:fldChar w:fldCharType="begin" w:fldLock="0"/>
      </w:r>
      <w:r>
        <w:instrText xml:space="preserve"> ADDIN EN.CITE &lt;EndNote&gt;&lt;Cite  &gt;&lt;Author&gt;Pennebaker, J. W.&lt;/Author&gt;&lt;Year&gt;2001&lt;/Year&gt;&lt;RecNum&gt;10255&lt;/RecNum&gt;&lt;DisplayText&gt;(Pennebaker, Francis, &amp; Booth, 2001)&lt;/DisplayText&gt;&lt;record&gt;&lt;database name="allrefs.enl" path="/Files/EndNote/allrefs.enl"&gt;allrefs.enl&lt;/database&gt;&lt;source-app name="EndNote" version="14.0"&gt;EndNote&lt;/source-app&gt;&lt;rec-number&gt;10255&lt;/rec-number&gt;&lt;foreign-keys&gt;&lt;key app="EN" db-id="d90vsetwrpftsqew0f8pa5d3eepftezf5xpp"&gt;10255&lt;/key&gt;&lt;/foreign-keys&gt;&lt;ref-type name="Book"&gt;6&lt;/ref-type&gt;&lt;contributors&gt;&lt;authors&gt;&lt;author&gt;&lt;style face="normal" font="default" size="100%"&gt;Pennebaker, J. W.&lt;/style&gt;&lt;/author&gt;&lt;author&gt;&lt;style face="normal" font="default" size="100%"&gt;Francis, M. E.&lt;/style&gt;&lt;/author&gt;&lt;author&gt;&lt;style face="normal" font="default" size="100%"&gt;Booth, R. J.&lt;/style&gt;&lt;/author&gt;&lt;/authors&gt;&lt;/contributors&gt;&lt;titles&gt;&lt;title&gt;&lt;style face="normal" font="default" size="100%"&gt;Linguistic Inquiry and Word Count (LIWC): A computerized text analysis program&lt;/style&gt;&lt;/title&gt;&lt;/titles&gt;&lt;dates&gt;&lt;year&gt;&lt;style face="normal" font="default" size="100%"&gt;2001&lt;/style&gt;&lt;/year&gt;&lt;/dates&gt;&lt;pub-location&gt;&lt;style face="normal" font="default" size="100%"&gt;Mahwah, NJ&lt;/style&gt;&lt;/pub-location&gt;&lt;publisher&gt;&lt;style face="normal" font="default" size="100%"&gt;Lawrence Erlbaum Associates&lt;/style&gt;&lt;/publisher&gt;&lt;urls/&gt;&lt;/record&gt;&lt;/Cite&gt;&lt;/EndNote&gt;</w:instrText>
      </w:r>
      <w:r>
        <w:rPr/>
        <w:fldChar w:fldCharType="separate" w:fldLock="0"/>
      </w:r>
      <w:r>
        <w:rPr>
          <w:rtl w:val="0"/>
          <w:lang w:val="en-US"/>
        </w:rPr>
        <w:t>(Pennebaker, Francis, &amp; Booth, 2001)</w:t>
      </w:r>
      <w:r>
        <w:rPr/>
        <w:fldChar w:fldCharType="end" w:fldLock="0"/>
      </w:r>
      <w:r>
        <w:rPr>
          <w:rtl w:val="0"/>
          <w:lang w:val="en-US"/>
        </w:rPr>
        <w:t xml:space="preserve">, propositional tagging </w:t>
      </w:r>
      <w:r>
        <w:rPr/>
        <w:fldChar w:fldCharType="begin" w:fldLock="0"/>
      </w:r>
      <w:r>
        <w:instrText xml:space="preserve"> ADDIN EN.CITE &lt;EndNote&gt;&lt;Cite  &gt;&lt;Author&gt;Kingsbury, P.&lt;/Author&gt;&lt;Year&gt;2002&lt;/Year&gt;&lt;RecNum&gt;10268&lt;/RecNum&gt;&lt;DisplayText&gt;(Kingsbury &amp; Palmer, 2002)&lt;/DisplayText&gt;&lt;record&gt;&lt;database name="allrefs.enl" path="/Files/EndNote/allrefs.enl"&gt;allrefs.enl&lt;/database&gt;&lt;source-app name="EndNote" version="14.0"&gt;EndNote&lt;/source-app&gt;&lt;rec-number&gt;10268&lt;/rec-number&gt;&lt;foreign-keys&gt;&lt;key app="EN" db-id="d90vsetwrpftsqew0f8pa5d3eepftezf5xpp"&gt;10268&lt;/key&gt;&lt;/foreign-keys&gt;&lt;ref-type name="Journal Article"&gt;17&lt;/ref-type&gt;&lt;contributors&gt;&lt;authors&gt;&lt;author&gt;&lt;style face="normal" font="default" size="100%"&gt;Kingsbury, P.&lt;/style&gt;&lt;/author&gt;&lt;author&gt;&lt;style face="normal" font="default" size="100%"&gt;Palmer, M.&lt;/style&gt;&lt;/author&gt;&lt;/authors&gt;&lt;/contributors&gt;&lt;titles&gt;&lt;title&gt;&lt;style face="normal" font="default" size="100%"&gt;From TreeBank to PropBank&lt;/style&gt;&lt;/title&gt;&lt;secondary-title&gt;&lt;style face="normal" font="default" size="100%"&gt;Third International Conference on Language Resources and Evaluation&lt;/style&gt;&lt;/secondary-title&gt;&lt;/titles&gt;&lt;pages&gt;&lt;style face="normal" font="default" size="100%"&gt;335-341&lt;/style&gt;&lt;/pages&gt;&lt;dates&gt;&lt;year&gt;&lt;style face="normal" font="default" size="100%"&gt;2002&lt;/style&gt;&lt;/year&gt;&lt;/dates&gt;&lt;urls/&gt;&lt;/record&gt;&lt;/Cite&gt;&lt;/EndNote&gt;</w:instrText>
      </w:r>
      <w:r>
        <w:rPr/>
        <w:fldChar w:fldCharType="separate" w:fldLock="0"/>
      </w:r>
      <w:r>
        <w:rPr>
          <w:rtl w:val="0"/>
          <w:lang w:val="en-US"/>
        </w:rPr>
        <w:t>(Kingsbury &amp; Palmer, 2002)</w:t>
      </w:r>
      <w:r>
        <w:rPr/>
        <w:fldChar w:fldCharType="end" w:fldLock="0"/>
      </w:r>
      <w:r>
        <w:rPr>
          <w:rtl w:val="0"/>
          <w:lang w:val="en-US"/>
        </w:rPr>
        <w:t xml:space="preserve">, and emotional coding </w:t>
      </w:r>
      <w:r>
        <w:rPr/>
        <w:fldChar w:fldCharType="begin" w:fldLock="0"/>
      </w:r>
      <w:r>
        <w:instrText xml:space="preserve"> ADDIN EN.CITE &lt;EndNote&gt;&lt;Cite  &gt;&lt;Author&gt;Wiebe, J.&lt;/Author&gt;&lt;Year&gt;2000&lt;/Year&gt;&lt;RecNum&gt;10495&lt;/RecNum&gt;&lt;DisplayText&gt;(Wiebe, 2000)&lt;/DisplayText&gt;&lt;record&gt;&lt;database name="allrefs.enl" path="/Files/EndNote/allrefs.enl"&gt;allrefs.enl&lt;/database&gt;&lt;source-app name="EndNote" version="14.0"&gt;EndNote&lt;/source-app&gt;&lt;rec-number&gt;10495&lt;/rec-number&gt;&lt;foreign-keys&gt;&lt;key app="EN" db-id="d90vsetwrpftsqew0f8pa5d3eepftezf5xpp"&gt;10495&lt;/key&gt;&lt;/foreign-keys&gt;&lt;ref-type name="Journal Article"&gt;17&lt;/ref-type&gt;&lt;contributors&gt;&lt;authors&gt;&lt;author&gt;&lt;style face="normal" font="default" size="100%"&gt;Wiebe, J.&lt;/style&gt;&lt;/author&gt;&lt;/authors&gt;&lt;/contributors&gt;&lt;titles&gt;&lt;title&gt;&lt;style face="normal" font="default" size="100%"&gt;Learning subjective adjectives from corpora&lt;/style&gt;&lt;/title&gt;&lt;secondary-title&gt;&lt;style face="normal" font="default" size="100%"&gt;AAAI Journal&lt;/style&gt;&lt;/secondary-title&gt;&lt;/titles&gt;&lt;dates&gt;&lt;year&gt;&lt;style face="normal" font="default" size="100%"&gt;2000&lt;/style&gt;&lt;/year&gt;&lt;/dates&gt;&lt;urls/&gt;&lt;/record&gt;&lt;/Cite&gt;&lt;/EndNote&gt;</w:instrText>
      </w:r>
      <w:r>
        <w:rPr/>
        <w:fldChar w:fldCharType="separate" w:fldLock="0"/>
      </w:r>
      <w:r>
        <w:rPr>
          <w:rtl w:val="0"/>
          <w:lang w:val="en-US"/>
        </w:rPr>
        <w:t>(Wiebe, 2000)</w:t>
      </w:r>
      <w:r>
        <w:rPr/>
        <w:fldChar w:fldCharType="end" w:fldLock="0"/>
      </w:r>
      <w:r>
        <w:rPr>
          <w:rtl w:val="0"/>
          <w:lang w:val="en-US"/>
        </w:rPr>
        <w:t>.</w:t>
      </w:r>
    </w:p>
    <w:p>
      <w:pPr>
        <w:pStyle w:val="Heading 2"/>
        <w:numPr>
          <w:ilvl w:val="1"/>
          <w:numId w:val="1"/>
        </w:numPr>
        <w:bidi w:val="0"/>
      </w:pPr>
      <w:r>
        <w:rPr>
          <w:rtl w:val="0"/>
          <w:lang w:val="en-US"/>
        </w:rPr>
        <w:t>Language Profiles</w:t>
      </w:r>
    </w:p>
    <w:p>
      <w:pPr>
        <w:pStyle w:val="Normal.0"/>
        <w:bidi w:val="0"/>
        <w:rPr>
          <w:rStyle w:val="Default Paragraph Font.0"/>
        </w:rPr>
      </w:pPr>
      <w:r>
        <w:rPr>
          <w:rtl w:val="0"/>
        </w:rPr>
        <w:t xml:space="preserve">Using the codes created by MOR, POST, and GRASP, one can automatically compute various language profile indices that were earlier computed tediously by hand.  In particular, we have automated the computation of the Developmental Sentence Score (DSS) of Lee </w:t>
      </w:r>
      <w:r>
        <w:rPr/>
        <w:fldChar w:fldCharType="begin" w:fldLock="0"/>
      </w:r>
      <w:r>
        <w:instrText xml:space="preserve"> ADDIN EN.CITE &lt;EndNote&gt;&lt;Cite ExcludeAuth="1" &gt;&lt;Author&gt;Lee, L.&lt;/Author&gt;&lt;Year&gt;1966&lt;/Year&gt;&lt;RecNum&gt;5183&lt;/RecNum&gt;&lt;DisplayText&gt;(1966)&lt;/DisplayText&gt;&lt;record&gt;&lt;database name="allrefs.enl" path="/Files/EndNote/allrefs.enl"&gt;allrefs.enl&lt;/database&gt;&lt;source-app name="EndNote" version="14.0"&gt;EndNote&lt;/source-app&gt;&lt;rec-number&gt;5183&lt;/rec-number&gt;&lt;foreign-keys&gt;&lt;key app="EN" db-id="d90vsetwrpftsqew0f8pa5d3eepftezf5xpp"&gt;5183&lt;/key&gt;&lt;/foreign-keys&gt;&lt;ref-type name="Journal Article"&gt;17&lt;/ref-type&gt;&lt;contributors&gt;&lt;authors&gt;&lt;author&gt;&lt;style face="normal" font="default" size="100%"&gt;Lee, L.&lt;/style&gt;&lt;/author&gt;&lt;/authors&gt;&lt;/contributors&gt;&lt;titles&gt;&lt;title&gt;&lt;style face="normal" font="default" size="100%"&gt;Developmental sentence types: A method for comparing normal and deviant syntactic development.&lt;/style&gt;&lt;/title&gt;&lt;secondary-title&gt;&lt;style face="normal" font="default" size="100%"&gt;Journal of Speech and Hearing Disorders&lt;/style&gt;&lt;/secondary-title&gt;&lt;alt-title&gt;&lt;style face="normal" font="default" size="100%"&gt;Journal of Speech and Hearing Disorders&lt;/style&gt;&lt;/alt-title&gt;&lt;/titles&gt;&lt;pages&gt;&lt;style face="normal" font="default" size="100%"&gt;331-330&lt;/style&gt;&lt;/pages&gt;&lt;volume&gt;&lt;style face="normal" font="default" size="100%"&gt;31&lt;/style&gt;&lt;/volume&gt;&lt;dates&gt;&lt;year&gt;&lt;style face="normal" font="default" size="100%"&gt;1966&lt;/style&gt;&lt;/year&gt;&lt;/dates&gt;&lt;urls/&gt;&lt;/record&gt;&lt;/Cite&gt;&lt;/EndNote&gt;</w:instrText>
      </w:r>
      <w:r>
        <w:rPr/>
        <w:fldChar w:fldCharType="separate" w:fldLock="0"/>
      </w:r>
      <w:r>
        <w:rPr>
          <w:rtl w:val="0"/>
        </w:rPr>
        <w:t>(1966)</w:t>
      </w:r>
      <w:r>
        <w:rPr/>
        <w:fldChar w:fldCharType="end" w:fldLock="0"/>
      </w:r>
      <w:r>
        <w:rPr>
          <w:rtl w:val="0"/>
        </w:rPr>
        <w:t xml:space="preserve"> and the Index of Productive Syntax (IPSyn) of Scarborough </w:t>
      </w:r>
      <w:r>
        <w:rPr/>
        <w:fldChar w:fldCharType="begin" w:fldLock="0"/>
      </w:r>
      <w:r>
        <w:instrText xml:space="preserve"> ADDIN EN.CITE &lt;EndNote&gt;&lt;Cite ExcludeAuth="1" &gt;&lt;Author&gt;Scarborough, Hollis S.&lt;/Author&gt;&lt;Year&gt;1990&lt;/Year&gt;&lt;RecNum&gt;4853&lt;/RecNum&gt;&lt;DisplayText&gt;(1990)&lt;/DisplayText&gt;&lt;record&gt;&lt;database name="allrefs.enl" path="/Files/EndNote/allrefs.enl"&gt;allrefs.enl&lt;/database&gt;&lt;source-app name="EndNote" version="14.0"&gt;EndNote&lt;/source-app&gt;&lt;rec-number&gt;4853&lt;/rec-number&gt;&lt;foreign-keys&gt;&lt;key app="EN" db-id="d90vsetwrpftsqew0f8pa5d3eepftezf5xpp"&gt;4853&lt;/key&gt;&lt;/foreign-keys&gt;&lt;ref-type name="Journal Article"&gt;17&lt;/ref-type&gt;&lt;contributors&gt;&lt;authors&gt;&lt;author&gt;&lt;style face="normal" font="default" size="100%"&gt;Scarborough, Hollis S.&lt;/style&gt;&lt;/author&gt;&lt;/authors&gt;&lt;/contributors&gt;&lt;titles&gt;&lt;title&gt;&lt;style face="normal" font="default" size="100%"&gt;Index of productive syntax&lt;/style&gt;&lt;/title&gt;&lt;secondary-title&gt;&lt;style face="normal" font="default" size="100%"&gt;Applied Psycholinguistics&lt;/style&gt;&lt;/secondary-title&gt;&lt;/titles&gt;&lt;periodical&gt;&lt;full-title&gt;&lt;style face="normal" font="default" size="100%"&gt;Applied Psycholinguistics&lt;/style&gt;&lt;/full-title&gt;&lt;/periodical&gt;&lt;pages&gt;&lt;style face="normal" font="default" size="100%"&gt;1-22&lt;/style&gt;&lt;/pages&gt;&lt;volume&gt;&lt;style face="normal" font="default" size="100%"&gt;11&lt;/style&gt;&lt;/volume&gt;&lt;dates&gt;&lt;year&gt;&lt;style face="normal" font="default" size="100%"&gt;1990&lt;/style&gt;&lt;/year&gt;&lt;/dates&gt;&lt;urls/&gt;&lt;/record&gt;&lt;/Cite&gt;&lt;/EndNote&gt;</w:instrText>
      </w:r>
      <w:r>
        <w:rPr/>
        <w:fldChar w:fldCharType="separate" w:fldLock="0"/>
      </w:r>
      <w:r>
        <w:rPr>
          <w:rtl w:val="0"/>
        </w:rPr>
        <w:t>(1990)</w:t>
      </w:r>
      <w:r>
        <w:rPr/>
        <w:fldChar w:fldCharType="end" w:fldLock="0"/>
      </w:r>
      <w:r>
        <w:rPr>
          <w:rtl w:val="0"/>
        </w:rPr>
        <w:t>.  These two language profile measures are important for the characterization of the normal course of child language development and the diagnoses of deviations from this normal course.  For the study of aphasic language types in the context of the AphasiaBank project, we have constructed the MORTABLE program that automatically extracts a complete tabulation of POS and and GR tags for further analysis in Excel. These measures are used to compare individual patients to a wider set of norms found in the one-hour protocols collected from the 150 patients currently in the AphasiaBank database.</w:t>
      </w:r>
    </w:p>
    <w:p>
      <w:pPr>
        <w:pStyle w:val="Heading 2"/>
        <w:numPr>
          <w:ilvl w:val="1"/>
          <w:numId w:val="1"/>
        </w:numPr>
        <w:bidi w:val="0"/>
      </w:pPr>
      <w:r>
        <w:rPr>
          <w:rtl w:val="0"/>
          <w:lang w:val="en-US"/>
        </w:rPr>
        <w:t>Group and Interlocutor Comparisons</w:t>
      </w:r>
    </w:p>
    <w:p>
      <w:pPr>
        <w:pStyle w:val="Normal.0"/>
        <w:bidi w:val="0"/>
      </w:pPr>
      <w:r>
        <w:rPr>
          <w:rtl w:val="0"/>
        </w:rPr>
        <w:t xml:space="preserve">Many TalkBank data sets were collected in the context of systematic experiments, often involving between-group comparisons. Most of the corpora in the Clinical segment of the CHILDES database include samples from both children with language disorders and normally-developing children.  For example, the corpora from children with language disorders contributed by Gina Conti-Ramsden </w:t>
      </w:r>
      <w:r>
        <w:rPr/>
        <w:fldChar w:fldCharType="begin" w:fldLock="0"/>
      </w:r>
      <w:r>
        <w:instrText xml:space="preserve"> ADDIN EN.CITE &lt;EndNote&gt;&lt;Cite ExcludeAuth="1" &gt;&lt;Author&gt;Jones, M.&lt;/Author&gt;&lt;Year&gt;1997&lt;/Year&gt;&lt;RecNum&gt;8162&lt;/RecNum&gt;&lt;DisplayText&gt;(1997)&lt;/DisplayText&gt;&lt;record&gt;&lt;database name="allrefs.enl" path="/Files/EndNote/allrefs.enl"&gt;allrefs.enl&lt;/database&gt;&lt;source-app name="EndNote" version="14.0"&gt;EndNote&lt;/source-app&gt;&lt;rec-number&gt;8162&lt;/rec-number&gt;&lt;foreign-keys&gt;&lt;key app="EN" db-id="d90vsetwrpftsqew0f8pa5d3eepftezf5xpp"&gt;8162&lt;/key&gt;&lt;/foreign-keys&gt;&lt;ref-type name="Journal Article"&gt;17&lt;/ref-type&gt;&lt;contributors&gt;&lt;authors&gt;&lt;author&gt;&lt;style face="normal" font="default" size="100%"&gt;Jones, M.&lt;/style&gt;&lt;/author&gt;&lt;author&gt;&lt;style face="normal" font="default" size="100%"&gt;Conti-Ramsden, G.&lt;/style&gt;&lt;/author&gt;&lt;/authors&gt;&lt;/contributors&gt;&lt;titles&gt;&lt;title&gt;&lt;style face="normal" font="default" size="100%"&gt;A comparison of verb use in children with SLI and their younger siblings&lt;/style&gt;&lt;/title&gt;&lt;secondary-title&gt;&lt;style face="normal" font="default" size="100%"&gt;First Language&lt;/style&gt;&lt;/secondary-title&gt;&lt;/titles&gt;&lt;pages&gt;&lt;style face="normal" font="default" size="100%"&gt;165-193&lt;/style&gt;&lt;/pages&gt;&lt;volume&gt;&lt;style face="normal" font="default" size="100%"&gt;7&lt;/style&gt;&lt;/volume&gt;&lt;keywords&gt;&lt;keyword&gt;&lt;style face="normal" font="default" size="100%"&gt;CHILDES&lt;/style&gt;&lt;/keyword&gt;&lt;/keywords&gt;&lt;dates&gt;&lt;year&gt;&lt;style face="normal" font="default" size="100%"&gt;1997&lt;/style&gt;&lt;/year&gt;&lt;/dates&gt;&lt;urls/&gt;&lt;/record&gt;&lt;/Cite&gt;&lt;/EndNote&gt;</w:instrText>
      </w:r>
      <w:r>
        <w:rPr/>
        <w:fldChar w:fldCharType="separate" w:fldLock="0"/>
      </w:r>
      <w:r>
        <w:rPr>
          <w:rtl w:val="0"/>
        </w:rPr>
        <w:t>(1997)</w:t>
      </w:r>
      <w:r>
        <w:rPr/>
        <w:fldChar w:fldCharType="end" w:fldLock="0"/>
      </w:r>
      <w:r>
        <w:rPr>
          <w:rtl w:val="0"/>
        </w:rPr>
        <w:t xml:space="preserve"> involve a comparison between children with Specific Language Impairment (SLI) and their younger language-matched siblings.  Also, the AphasiaBank corpus has been structured to highlight the basic comparison between aphasics and age-matched normal controls.  In other studies, there is a comparison between children from alternative socioeconomic, racial, or ethnic groups.  For example, the Hall corpus </w:t>
      </w:r>
      <w:r>
        <w:rPr/>
        <w:fldChar w:fldCharType="begin" w:fldLock="0"/>
      </w:r>
      <w:r>
        <w:instrText xml:space="preserve"> ADDIN EN.CITE &lt;EndNote&gt;&lt;Cite  &gt;&lt;Author&gt;Hall, W.S.&lt;/Author&gt;&lt;Year&gt;1979&lt;/Year&gt;&lt;RecNum&gt;1769&lt;/RecNum&gt;&lt;DisplayText&gt;(Hall &amp; Tirre, 1979)&lt;/DisplayText&gt;&lt;record&gt;&lt;database name="allrefs.enl" path="/Files/EndNote/allrefs.enl"&gt;allrefs.enl&lt;/database&gt;&lt;source-app name="EndNote" version="14.0"&gt;EndNote&lt;/source-app&gt;&lt;rec-number&gt;1769&lt;/rec-number&gt;&lt;foreign-keys&gt;&lt;key app="EN" db-id="d90vsetwrpftsqew0f8pa5d3eepftezf5xpp"&gt;1769&lt;/key&gt;&lt;/foreign-keys&gt;&lt;ref-type name="Book"&gt;6&lt;/ref-type&gt;&lt;contributors&gt;&lt;authors&gt;&lt;author&gt;&lt;style face="normal" font="default" size="100%"&gt;Hall, W.S.&lt;/style&gt;&lt;/author&gt;&lt;author&gt;&lt;style face="normal" font="default" size="100%"&gt;Tirre, W.C.&lt;/style&gt;&lt;/author&gt;&lt;/authors&gt;&lt;/contributors&gt;&lt;titles&gt;&lt;title&gt;&lt;style face="normal" font="default" size="100%"&gt;The communicative environment of young children: Social class, ethnic and situational differences&lt;/style&gt;&lt;/title&gt;&lt;/titles&gt;&lt;dates&gt;&lt;year&gt;&lt;style face="normal" font="default" size="100%"&gt;1979&lt;/style&gt;&lt;/year&gt;&lt;/dates&gt;&lt;pub-location&gt;&lt;style face="normal" font="default" size="100%"&gt;Champaign, IL&lt;/style&gt;&lt;/pub-location&gt;&lt;publisher&gt;&lt;style face="normal" font="default" size="100%"&gt;University of Illinois&lt;/style&gt;&lt;/publisher&gt;&lt;abstract&gt;&lt;style face="normal" font="default" size="100%"&gt;techreport&lt;/style&gt;&lt;/abstract&gt;&lt;urls/&gt;&lt;/record&gt;&lt;/Cite&gt;&lt;/EndNote&gt;</w:instrText>
      </w:r>
      <w:r>
        <w:rPr/>
        <w:fldChar w:fldCharType="separate" w:fldLock="0"/>
      </w:r>
      <w:r>
        <w:rPr>
          <w:rtl w:val="0"/>
        </w:rPr>
        <w:t>(Hall &amp; Tirre, 1979)</w:t>
      </w:r>
      <w:r>
        <w:rPr/>
        <w:fldChar w:fldCharType="end" w:fldLock="0"/>
      </w:r>
      <w:r>
        <w:rPr>
          <w:rtl w:val="0"/>
        </w:rPr>
        <w:t xml:space="preserve"> includes children from these four groups of families: Black Professional, Black Working Class, White Professional, and White Working Class.  Other corpora compare younger and older mothers, or mothers with various levels of education.  For all of these group comparison studies, there is an emphasis on maintaining a consistent method of data collection to maximize comparability between the groups.  In the most extreme cases, this involves use of a constant, tightly specified protocol, including specific tasks and questions.</w:t>
      </w:r>
    </w:p>
    <w:p>
      <w:pPr>
        <w:pStyle w:val="Normal.0"/>
        <w:bidi w:val="0"/>
      </w:pPr>
      <w:r>
        <w:rPr>
          <w:rtl w:val="0"/>
        </w:rPr>
        <w:t>Some of the sociolinguistic studies in TalkBank rely on comparisons between interlocutors, rather than subject groups.  For example, the Gleason corpus examines children</w:t>
      </w:r>
      <w:r>
        <w:rPr>
          <w:rtl w:val="0"/>
        </w:rPr>
        <w:t>’</w:t>
      </w:r>
      <w:r>
        <w:rPr>
          <w:rtl w:val="0"/>
        </w:rPr>
        <w:t xml:space="preserve">s language use in three situations: talking with their mother, talking with their father, and interacting with the whole family during dinner conversations.  Within the various bilingual corpora, there is often a comparison between interlocutors from different languages or situations that require the use of one language, rather than the other </w:t>
      </w:r>
      <w:r>
        <w:rPr/>
        <w:fldChar w:fldCharType="begin" w:fldLock="0"/>
      </w:r>
      <w:r>
        <w:instrText xml:space="preserve"> ADDIN EN.CITE &lt;EndNote&gt;&lt;Cite  &gt;&lt;Author&gt;Yip, V.&lt;/Author&gt;&lt;Year&gt;2000&lt;/Year&gt;&lt;RecNum&gt;9897&lt;/RecNum&gt;&lt;DisplayText&gt;(Yip &amp; Matthews, 2000)&lt;/DisplayText&gt;&lt;record&gt;&lt;database name="allrefs.enl" path="/Files/EndNote/allrefs.enl"&gt;allrefs.enl&lt;/database&gt;&lt;source-app name="EndNote" version="14.0"&gt;EndNote&lt;/source-app&gt;&lt;rec-number&gt;9897&lt;/rec-number&gt;&lt;foreign-keys&gt;&lt;key app="EN" db-id="d90vsetwrpftsqew0f8pa5d3eepftezf5xpp"&gt;9897&lt;/key&gt;&lt;/foreign-keys&gt;&lt;ref-type name="Journal Article"&gt;17&lt;/ref-type&gt;&lt;contributors&gt;&lt;authors&gt;&lt;author&gt;&lt;style face="normal" font="default" size="100%"&gt;Yip, V.&lt;/style&gt;&lt;/author&gt;&lt;author&gt;&lt;style face="normal" font="default" size="100%"&gt;Matthews, S.&lt;/style&gt;&lt;/author&gt;&lt;/authors&gt;&lt;/contributors&gt;&lt;titles&gt;&lt;title&gt;&lt;style face="normal" font="default" size="100%"&gt;Syntactic transfer in a Cantonese-English bilingual child&lt;/style&gt;&lt;/title&gt;&lt;secondary-title&gt;&lt;style face="normal" font="default" size="100%"&gt;Bilingualism: Language and Cognition&lt;/style&gt;&lt;/secondary-title&gt;&lt;/titles&gt;&lt;periodical&gt;&lt;full-title&gt;&lt;style face="normal" font="default" size="100%"&gt;Bilingualism: Language and Cognition&lt;/style&gt;&lt;/full-title&gt;&lt;/periodical&gt;&lt;pages&gt;&lt;style face="normal" font="default" size="100%"&gt;193-208&lt;/style&gt;&lt;/pages&gt;&lt;volume&gt;&lt;style face="normal" font="default" size="100%"&gt;3&lt;/style&gt;&lt;/volume&gt;&lt;keywords&gt;&lt;keyword&gt;&lt;style face="normal" font="default" size="100%"&gt;L2&lt;/style&gt;&lt;/keyword&gt;&lt;/keywords&gt;&lt;dates&gt;&lt;year&gt;&lt;style face="normal" font="default" size="100%"&gt;2000&lt;/style&gt;&lt;/year&gt;&lt;/dates&gt;&lt;urls/&gt;&lt;/record&gt;&lt;/Cite&gt;&lt;/EndNote&gt;</w:instrText>
      </w:r>
      <w:r>
        <w:rPr/>
        <w:fldChar w:fldCharType="separate" w:fldLock="0"/>
      </w:r>
      <w:r>
        <w:rPr>
          <w:rtl w:val="0"/>
        </w:rPr>
        <w:t>(Yip &amp; Matthews, 2000)</w:t>
      </w:r>
      <w:r>
        <w:rPr/>
        <w:fldChar w:fldCharType="end" w:fldLock="0"/>
      </w:r>
      <w:r>
        <w:rPr>
          <w:rtl w:val="0"/>
        </w:rPr>
        <w:t xml:space="preserve">.  Within this framework, there can also be experimental manipulations that specifically encourage reliance on one language over the other </w:t>
      </w:r>
      <w:r>
        <w:rPr/>
        <w:fldChar w:fldCharType="begin" w:fldLock="0"/>
      </w:r>
      <w:r>
        <w:instrText xml:space="preserve"> ADDIN EN.CITE &lt;EndNote&gt;&lt;Cite  &gt;&lt;Author&gt;Nicoladis, E.&lt;/Author&gt;&lt;Year&gt;1998&lt;/Year&gt;&lt;RecNum&gt;9192&lt;/RecNum&gt;&lt;DisplayText&gt;(Nicoladis &amp; Genesee, 1998)&lt;/DisplayText&gt;&lt;record&gt;&lt;database name="allrefs.enl" path="/Files/EndNote/allrefs.enl"&gt;allrefs.enl&lt;/database&gt;&lt;source-app name="EndNote" version="14.0"&gt;EndNote&lt;/source-app&gt;&lt;rec-number&gt;9192&lt;/rec-number&gt;&lt;foreign-keys&gt;&lt;key app="EN" db-id="d90vsetwrpftsqew0f8pa5d3eepftezf5xpp"&gt;9192&lt;/key&gt;&lt;/foreign-keys&gt;&lt;ref-type name="Journal Article"&gt;17&lt;/ref-type&gt;&lt;contributors&gt;&lt;authors&gt;&lt;author&gt;&lt;style face="normal" font="default" size="100%"&gt;Nicoladis, E.&lt;/style&gt;&lt;/author&gt;&lt;author&gt;&lt;style face="normal" font="default" size="100%"&gt;Genesee, F.&lt;/style&gt;&lt;/author&gt;&lt;/authors&gt;&lt;/contributors&gt;&lt;titles&gt;&lt;title&gt;&lt;style face="normal" font="default" size="100%"&gt;Parental discourse and code-mixing in bilingual children&lt;/style&gt;&lt;/title&gt;&lt;secondary-title&gt;&lt;style face="normal" font="default" size="100%"&gt;International Journal of Bilingualism&lt;/style&gt;&lt;/secondary-title&gt;&lt;/titles&gt;&lt;pages&gt;&lt;style face="normal" font="default" size="100%"&gt;85-99&lt;/style&gt;&lt;/pages&gt;&lt;volume&gt;&lt;style face="normal" font="default" size="100%"&gt;2&lt;/style&gt;&lt;/volume&gt;&lt;keywords&gt;&lt;keyword&gt;&lt;style face="normal" font="default" size="100%"&gt;bilingualism&lt;/style&gt;&lt;/keyword&gt;&lt;/keywords&gt;&lt;dates&gt;&lt;year&gt;&lt;style face="normal" font="default" size="100%"&gt;1998&lt;/style&gt;&lt;/year&gt;&lt;/dates&gt;&lt;abstract&gt;&lt;style face="normal" font="default" size="100%"&gt;parental strategies don't drive child mixing rates&lt;/style&gt;&lt;/abstract&gt;&lt;urls/&gt;&lt;/record&gt;&lt;/Cite&gt;&lt;/EndNote&gt;</w:instrText>
      </w:r>
      <w:r>
        <w:rPr/>
        <w:fldChar w:fldCharType="separate" w:fldLock="0"/>
      </w:r>
      <w:r>
        <w:rPr>
          <w:rtl w:val="0"/>
        </w:rPr>
        <w:t>(Nicoladis &amp; Genesee, 1998)</w:t>
      </w:r>
      <w:r>
        <w:rPr/>
        <w:fldChar w:fldCharType="end" w:fldLock="0"/>
      </w:r>
      <w:r>
        <w:rPr>
          <w:rtl w:val="0"/>
        </w:rPr>
        <w:t>.</w:t>
      </w:r>
    </w:p>
    <w:p>
      <w:pPr>
        <w:pStyle w:val="Heading 2"/>
        <w:numPr>
          <w:ilvl w:val="1"/>
          <w:numId w:val="1"/>
        </w:numPr>
        <w:bidi w:val="0"/>
      </w:pPr>
      <w:r>
        <w:rPr>
          <w:rtl w:val="0"/>
          <w:lang w:val="en-US"/>
        </w:rPr>
        <w:t>Change Scores</w:t>
      </w:r>
    </w:p>
    <w:p>
      <w:pPr>
        <w:pStyle w:val="Normal.0"/>
        <w:bidi w:val="0"/>
      </w:pPr>
      <w:r>
        <w:rPr>
          <w:rtl w:val="0"/>
        </w:rPr>
        <w:t xml:space="preserve">The most common use of change scores is to measure the naturalistic course of language development over time. For example, language acquisition researchers use measures such as lexical diversity (VOCD), mean length of utterance (MLU), or DSS to track the course of language development for both first and second languages.  These measures can be applied to either longitudinal corpora collected across several years from individual learners or cross-sectional corpora collected at single time points from groups of learners at different ages or levels of first and second language learning. These data can then be modeled to study patterns such as the vocabulary spurt </w:t>
      </w:r>
      <w:r>
        <w:rPr/>
        <w:fldChar w:fldCharType="begin" w:fldLock="0"/>
      </w:r>
      <w:r>
        <w:instrText xml:space="preserve"> ADDIN EN.CITE &lt;EndNote&gt;&lt;Cite  &gt;&lt;Author&gt;Ganger, J.&lt;/Author&gt;&lt;Year&gt;2004&lt;/Year&gt;&lt;RecNum&gt;10202&lt;/RecNum&gt;&lt;DisplayText&gt;(Bates &amp; Carnevale, 1993; Ganger &amp; Brent, 2004)&lt;/DisplayText&gt;&lt;record&gt;&lt;database name="allrefs.enl" path="/Files/EndNote/allrefs.enl"&gt;allrefs.enl&lt;/database&gt;&lt;source-app name="EndNote" version="14.0"&gt;EndNote&lt;/source-app&gt;&lt;rec-number&gt;10202&lt;/rec-number&gt;&lt;foreign-keys&gt;&lt;key app="EN" db-id="d90vsetwrpftsqew0f8pa5d3eepftezf5xpp"&gt;10202&lt;/key&gt;&lt;/foreign-keys&gt;&lt;ref-type name="Journal Article"&gt;17&lt;/ref-type&gt;&lt;contributors&gt;&lt;authors&gt;&lt;author&gt;&lt;style face="normal" font="default" size="100%"&gt;Ganger, J.&lt;/style&gt;&lt;/author&gt;&lt;author&gt;&lt;style face="normal" font="default" size="100%"&gt;Brent, M.&lt;/style&gt;&lt;/author&gt;&lt;/authors&gt;&lt;/contributors&gt;&lt;titles&gt;&lt;title&gt;&lt;style face="normal" font="default" size="100%"&gt;Reexamining the vocabulary spurt&lt;/style&gt;&lt;/title&gt;&lt;secondary-title&gt;&lt;style face="normal" font="default" size="100%"&gt;Developmental Psychology&lt;/style&gt;&lt;/secondary-title&gt;&lt;/titles&gt;&lt;periodical&gt;&lt;full-title&gt;&lt;style face="normal" font="default" size="100%"&gt;Developmental Psychology&lt;/style&gt;&lt;/full-title&gt;&lt;/periodical&gt;&lt;pages&gt;&lt;style face="normal" font="default" size="100%"&gt;621-632&lt;/style&gt;&lt;/pages&gt;&lt;volume&gt;&lt;style face="normal" font="default" size="100%"&gt;40&lt;/style&gt;&lt;/volume&gt;&lt;dates&gt;&lt;year&gt;&lt;style face="normal" font="default" size="100%"&gt;2004&lt;/style&gt;&lt;/year&gt;&lt;/dates&gt;&lt;urls/&gt;&lt;/record&gt;&lt;/Cite&gt;&lt;Cite  &gt;&lt;Author&gt;Bates, E.&lt;/Author&gt;&lt;Year&gt;1993&lt;/Year&gt;&lt;RecNum&gt;5958&lt;/RecNum&gt;&lt;record&gt;&lt;database name="allrefs.enl" path="/Files/EndNote/allrefs.enl"&gt;allrefs.enl&lt;/database&gt;&lt;source-app name="EndNote" version="14.0"&gt;EndNote&lt;/source-app&gt;&lt;rec-number&gt;5958&lt;/rec-number&gt;&lt;foreign-keys&gt;&lt;key app="EN" db-id="d90vsetwrpftsqew0f8pa5d3eepftezf5xpp"&gt;5958&lt;/key&gt;&lt;/foreign-keys&gt;&lt;ref-type name="Journal Article"&gt;17&lt;/ref-type&gt;&lt;contributors&gt;&lt;authors&gt;&lt;author&gt;&lt;style face="normal" font="default" size="100%"&gt;Bates, E.&lt;/style&gt;&lt;/author&gt;&lt;author&gt;&lt;style face="normal" font="default" size="100%"&gt;Carnevale, G.&lt;/style&gt;&lt;/author&gt;&lt;/authors&gt;&lt;/contributors&gt;&lt;titles&gt;&lt;title&gt;&lt;style face="normal" font="default" size="100%"&gt;New directions in research on language development&lt;/style&gt;&lt;/title&gt;&lt;secondary-title&gt;&lt;style face="normal" font="default" size="100%"&gt;Developmental Review&lt;/style&gt;&lt;/secondary-title&gt;&lt;/titles&gt;&lt;periodical&gt;&lt;full-title&gt;&lt;style face="normal" font="default" size="100%"&gt;Developmental Review&lt;/style&gt;&lt;/full-title&gt;&lt;/periodical&gt;&lt;pages&gt;&lt;style face="normal" font="default" size="100%"&gt;436-470&lt;/style&gt;&lt;/pages&gt;&lt;volume&gt;&lt;style face="normal" font="default" size="100%"&gt;13&lt;/style&gt;&lt;/volume&gt;&lt;keywords&gt;&lt;keyword&gt;&lt;style face="normal" font="default" size="100%"&gt;CHILDES&lt;/style&gt;&lt;/keyword&gt;&lt;/keywords&gt;&lt;dates&gt;&lt;year&gt;&lt;style face="normal" font="default" size="100%"&gt;1993&lt;/style&gt;&lt;/year&gt;&lt;/dates&gt;&lt;urls/&gt;&lt;/record&gt;&lt;/Cite&gt;&lt;/EndNote&gt;</w:instrText>
      </w:r>
      <w:r>
        <w:rPr/>
        <w:fldChar w:fldCharType="separate" w:fldLock="0"/>
      </w:r>
      <w:r>
        <w:rPr>
          <w:rtl w:val="0"/>
        </w:rPr>
        <w:t>(Bates &amp; Carnevale, 1993; Ganger &amp; Brent, 2004)</w:t>
      </w:r>
      <w:r>
        <w:rPr/>
        <w:fldChar w:fldCharType="end" w:fldLock="0"/>
      </w:r>
      <w:r>
        <w:rPr>
          <w:rtl w:val="0"/>
        </w:rPr>
        <w:t xml:space="preserve">, learning bursts </w:t>
      </w:r>
      <w:r>
        <w:rPr/>
        <w:fldChar w:fldCharType="begin" w:fldLock="0"/>
      </w:r>
      <w:r>
        <w:instrText xml:space="preserve"> ADDIN EN.CITE &lt;EndNote&gt;&lt;Cite  &gt;&lt;Author&gt;Larsen-Freeman, D.&lt;/Author&gt;&lt;Year&gt;2006&lt;/Year&gt;&lt;RecNum&gt;11118&lt;/RecNum&gt;&lt;DisplayText&gt;(Larsen-Freeman, 2006)&lt;/DisplayText&gt;&lt;record&gt;&lt;database name="allrefs.enl" path="/Files/EndNote/allrefs.enl"&gt;allrefs.enl&lt;/database&gt;&lt;source-app name="EndNote" version="14.0"&gt;EndNote&lt;/source-app&gt;&lt;rec-number&gt;11118&lt;/rec-number&gt;&lt;foreign-keys&gt;&lt;key app="EN" db-id="d90vsetwrpftsqew0f8pa5d3eepftezf5xpp"&gt;11118&lt;/key&gt;&lt;/foreign-keys&gt;&lt;ref-type name="Journal Article"&gt;17&lt;/ref-type&gt;&lt;contributors&gt;&lt;authors&gt;&lt;author&gt;&lt;style face="normal" font="default" size="100%"&gt;Larsen-Freeman, D.&lt;/style&gt;&lt;/author&gt;&lt;/authors&gt;&lt;/contributors&gt;&lt;titles&gt;&lt;title&gt;&lt;style face="normal" font="default" size="100%"&gt;The emergence of complexity, fluency, and accuracy in the oral and written production of five Chinese learners of English&lt;/style&gt;&lt;/title&gt;&lt;secondary-title&gt;&lt;style face="normal" font="default" size="100%"&gt;Applied Linguistics&lt;/style&gt;&lt;/secondary-title&gt;&lt;/titles&gt;&lt;periodical&gt;&lt;full-title&gt;&lt;style face="normal" font="default" size="100%"&gt;Applied Linguistics&lt;/style&gt;&lt;/full-title&gt;&lt;/periodical&gt;&lt;pages&gt;&lt;style face="normal" font="default" size="100%"&gt;590-619&lt;/style&gt;&lt;/pages&gt;&lt;number&gt;&lt;style face="normal" font="default" size="100%"&gt;27&lt;/style&gt;&lt;/number&gt;&lt;dates&gt;&lt;year&gt;&lt;style face="normal" font="default" size="100%"&gt;2006&lt;/style&gt;&lt;/year&gt;&lt;/dates&gt;&lt;urls/&gt;&lt;/record&gt;&lt;/Cite&gt;&lt;/EndNote&gt;</w:instrText>
      </w:r>
      <w:r>
        <w:rPr/>
        <w:fldChar w:fldCharType="separate" w:fldLock="0"/>
      </w:r>
      <w:r>
        <w:rPr>
          <w:rtl w:val="0"/>
        </w:rPr>
        <w:t>(Larsen-Freeman, 2006)</w:t>
      </w:r>
      <w:r>
        <w:rPr/>
        <w:fldChar w:fldCharType="end" w:fldLock="0"/>
      </w:r>
      <w:r>
        <w:rPr>
          <w:rtl w:val="0"/>
        </w:rPr>
        <w:t xml:space="preserve">, or implicational patterns </w:t>
      </w:r>
      <w:r>
        <w:rPr/>
        <w:fldChar w:fldCharType="begin" w:fldLock="0"/>
      </w:r>
      <w:r>
        <w:instrText xml:space="preserve"> ADDIN EN.CITE &lt;EndNote&gt;&lt;Cite  &gt;&lt;DisplayText&gt;(Pienemann, Di Biase, Kawaguchi, &amp; Håkansson, 2005)&lt;/DisplayText&gt;&lt;record&gt;&lt;database name="allrefs.enl" path="/Files/EndNote/allrefs.enl"&gt;allrefs.enl&lt;/database&gt;&lt;source-app name="EndNote" version="14.0"&gt;EndNote&lt;/source-app&gt;&lt;rec-number&gt;9701&lt;/rec-number&gt;&lt;foreign-keys&gt;&lt;key app="EN" db-id="d90vsetwrpftsqew0f8pa5d3eepftezf5xpp"&gt;9701&lt;/key&gt;&lt;/foreign-keys&gt;&lt;ref-type name="Book Section"&gt;5&lt;/ref-type&gt;&lt;contributors&gt;&lt;authors&gt;&lt;author&gt;&lt;style face="normal" font="default" size="100%"&gt;Pienemann, M.&lt;/style&gt;&lt;/author&gt;&lt;author&gt;&lt;style face="normal" font="default" size="100%"&gt;Di Biase, B.&lt;/style&gt;&lt;/author&gt;&lt;author&gt;&lt;style face="normal" font="default" size="100%"&gt;Kawaguchi, S.&lt;/style&gt;&lt;/author&gt;&lt;author&gt;&lt;style face="normal" font="default" size="100%"&gt;Håkansson, G.&lt;/style&gt;&lt;/author&gt;&lt;/authors&gt;&lt;secondary-authors&gt;&lt;author&gt;&lt;style face="normal" font="default" size="100%"&gt;Kroll, J. F.&lt;/style&gt;&lt;/author&gt;&lt;author&gt;&lt;style face="normal" font="default" size="100%"&gt;DeGroot, A. M. B.&lt;/style&gt;&lt;/author&gt;&lt;/secondary-authors&gt;&lt;/contributors&gt;&lt;titles&gt;&lt;title&gt;&lt;style face="normal" font="default" size="100%"&gt;Processing constraints on L1 transfer&lt;/style&gt;&lt;/title&gt;&lt;secondary-title&gt;&lt;style face="normal" font="default" size="100%"&gt;Handbook of bilingualism: Psycholinguistic approaches&lt;/style&gt;&lt;/secondary-title&gt;&lt;/titles&gt;&lt;pages&gt;&lt;style face="normal" font="default" size="100%"&gt;128-153&lt;/style&gt;&lt;/pages&gt;&lt;keywords&gt;&lt;keyword&gt;&lt;style face="normal" font="default" size="100%"&gt;L2&lt;/style&gt;&lt;/keyword&gt;&lt;/keywords&gt;&lt;dates&gt;&lt;year&gt;&lt;style face="normal" font="default" size="100%"&gt;2005&lt;/style&gt;&lt;/year&gt;&lt;/dates&gt;&lt;pub-location&gt;&lt;style face="normal" font="default" size="100%"&gt;New York&lt;/style&gt;&lt;/pub-location&gt;&lt;publisher&gt;&lt;style face="normal" font="default" size="100%"&gt;Oxford University Press&lt;/style&gt;&lt;/publisher&gt;&lt;urls/&gt;&lt;/record&gt;&lt;/Cite&gt;&lt;/EndNote&gt;</w:instrText>
      </w:r>
      <w:r>
        <w:rPr/>
        <w:fldChar w:fldCharType="separate" w:fldLock="0"/>
      </w:r>
      <w:r>
        <w:rPr>
          <w:rtl w:val="0"/>
        </w:rPr>
        <w:t>(Pienemann, Di Biase, Kawaguchi, &amp; Håkansson, 2005)</w:t>
      </w:r>
      <w:r>
        <w:rPr/>
        <w:fldChar w:fldCharType="end" w:fldLock="0"/>
      </w:r>
      <w:r>
        <w:rPr>
          <w:rtl w:val="0"/>
        </w:rPr>
        <w:t xml:space="preserve">. The study of change scores over development is the single most important method in the study of both first and second language acquisition. </w:t>
      </w:r>
    </w:p>
    <w:p>
      <w:pPr>
        <w:pStyle w:val="Normal.0"/>
        <w:bidi w:val="0"/>
      </w:pPr>
      <w:r>
        <w:rPr>
          <w:rtl w:val="0"/>
        </w:rPr>
        <w:t xml:space="preserve">This basic use of change scores does not involve any clear experimental treatment.  However, it is also possible to combine the study of change scores with experimental control.  For example, in the context of the AphasiaBank project, researchers apply transcortical magnetic stimulation to improve lexical access in aphasia.  To measure the effects of this treatment, retell the Cinderella story </w:t>
      </w:r>
      <w:r>
        <w:rPr/>
        <w:fldChar w:fldCharType="begin" w:fldLock="0"/>
      </w:r>
      <w:r>
        <w:instrText xml:space="preserve"> ADDIN EN.CITE &lt;EndNote&gt;&lt;Cite  &gt;&lt;Author&gt;MacWhinney, B.&lt;/Author&gt;&lt;Year&gt;2010&lt;/Year&gt;&lt;RecNum&gt;11029&lt;/RecNum&gt;&lt;DisplayText&gt;(MacWhinney, Fromm, Holland, Forbes, &amp; Wright, 2010)&lt;/DisplayText&gt;&lt;record&gt;&lt;database name="allrefs.enl" path="/Files/EndNote/allrefs.enl"&gt;allrefs.enl&lt;/database&gt;&lt;source-app name="EndNote" version="14.0"&gt;EndNote&lt;/source-app&gt;&lt;rec-number&gt;11029&lt;/rec-number&gt;&lt;foreign-keys&gt;&lt;key app="EN" db-id="d90vsetwrpftsqew0f8pa5d3eepftezf5xpp"&gt;11029&lt;/key&gt;&lt;/foreign-keys&gt;&lt;ref-type name="Journal Article"&gt;17&lt;/ref-type&gt;&lt;contributors&gt;&lt;authors&gt;&lt;author&gt;&lt;style face="normal" font="default" size="100%"&gt;MacWhinney, B.&lt;/style&gt;&lt;/author&gt;&lt;author&gt;&lt;style face="normal" font="default" size="100%"&gt;Fromm, D.&lt;/style&gt;&lt;/author&gt;&lt;author&gt;&lt;style face="normal" font="default" size="100%"&gt;Holland, A.&lt;/style&gt;&lt;/author&gt;&lt;author&gt;&lt;style face="normal" font="default" size="100%"&gt;Forbes, M.&lt;/style&gt;&lt;/author&gt;&lt;author&gt;&lt;style face="normal" font="default" size="100%"&gt;Wright, H.&lt;/style&gt;&lt;/author&gt;&lt;/authors&gt;&lt;/contributors&gt;&lt;titles&gt;&lt;title&gt;&lt;style face="normal" font="default" size="100%"&gt;Automated analysis of the Cinderella story&lt;/style&gt;&lt;/title&gt;&lt;secondary-title&gt;&lt;style face="normal" font="default" size="100%"&gt;Aphasiology&lt;/style&gt;&lt;/secondary-title&gt;&lt;/titles&gt;&lt;periodical&gt;&lt;full-title&gt;&lt;style face="normal" font="default" size="100%"&gt;Aphasiology&lt;/style&gt;&lt;/full-title&gt;&lt;/periodical&gt;&lt;dates&gt;&lt;year&gt;&lt;style face="normal" font="default" size="100%"&gt;2010&lt;/style&gt;&lt;/year&gt;&lt;/dates&gt;&lt;urls/&gt;&lt;/record&gt;&lt;/Cite&gt;&lt;/EndNote&gt;</w:instrText>
      </w:r>
      <w:r>
        <w:rPr/>
        <w:fldChar w:fldCharType="separate" w:fldLock="0"/>
      </w:r>
      <w:r>
        <w:rPr>
          <w:rtl w:val="0"/>
        </w:rPr>
        <w:t>(MacWhinney, Fromm, Holland, Forbes, &amp; Wright, 2010)</w:t>
      </w:r>
      <w:r>
        <w:rPr/>
        <w:fldChar w:fldCharType="end" w:fldLock="0"/>
      </w:r>
      <w:r>
        <w:rPr>
          <w:rtl w:val="0"/>
        </w:rPr>
        <w:t xml:space="preserve"> both before and after treatment.  The two retellings are then compared using automatic methods such  as VOCD and MORTABLE. Differences in the pretest and posttest retellings are also contrasted with those from a control group that did not have transcortical magnetic stimulation. </w:t>
      </w:r>
    </w:p>
    <w:p>
      <w:pPr>
        <w:pStyle w:val="Normal.0"/>
        <w:bidi w:val="0"/>
      </w:pPr>
      <w:r>
        <w:rPr>
          <w:rtl w:val="0"/>
        </w:rPr>
        <w:t xml:space="preserve">Change scores can also be used to measure the effects of educational treatments.  For example, in their Fluency corpus, de Jong and colleagues examine the effects of production fluency training using the 4-3-2 method </w:t>
      </w:r>
      <w:r>
        <w:rPr/>
        <w:fldChar w:fldCharType="begin" w:fldLock="0"/>
      </w:r>
      <w:r>
        <w:instrText xml:space="preserve"> ADDIN EN.CITE &lt;EndNote&gt;&lt;Cite  &gt;&lt;Author&gt;Maurice, K.&lt;/Author&gt;&lt;Year&gt;1983&lt;/Year&gt;&lt;RecNum&gt;10583&lt;/RecNum&gt;&lt;DisplayText&gt;(Maurice, 1983; Nation, 1989)&lt;/DisplayText&gt;&lt;record&gt;&lt;database name="allrefs.enl" path="/Files/EndNote/allrefs.enl"&gt;allrefs.enl&lt;/database&gt;&lt;source-app name="EndNote" version="14.0"&gt;EndNote&lt;/source-app&gt;&lt;rec-number&gt;10583&lt;/rec-number&gt;&lt;foreign-keys&gt;&lt;key app="EN" db-id="d90vsetwrpftsqew0f8pa5d3eepftezf5xpp"&gt;10583&lt;/key&gt;&lt;/foreign-keys&gt;&lt;ref-type name="Journal Article"&gt;17&lt;/ref-type&gt;&lt;contributors&gt;&lt;authors&gt;&lt;author&gt;&lt;style face="normal" font="default" size="100%"&gt;Maurice, K.&lt;/style&gt;&lt;/author&gt;&lt;/authors&gt;&lt;/contributors&gt;&lt;titles&gt;&lt;title&gt;&lt;style face="normal" font="default" size="100%"&gt;The fluency workshop&lt;/style&gt;&lt;/title&gt;&lt;secondary-title&gt;&lt;style face="normal" font="default" size="100%"&gt;TESOL Newsletter&lt;/style&gt;&lt;/secondary-title&gt;&lt;/titles&gt;&lt;periodical&gt;&lt;full-title&gt;&lt;style face="normal" font="default" size="100%"&gt;TESOL Newsletter&lt;/style&gt;&lt;/full-title&gt;&lt;/periodical&gt;&lt;pages&gt;&lt;style face="normal" font="default" size="100%"&gt;429-436&lt;/style&gt;&lt;/pages&gt;&lt;volume&gt;&lt;style face="normal" font="default" size="100%"&gt;17&lt;/style&gt;&lt;/volume&gt;&lt;dates&gt;&lt;year&gt;&lt;style face="normal" font="default" size="100%"&gt;1983&lt;/style&gt;&lt;/year&gt;&lt;/dates&gt;&lt;urls/&gt;&lt;/record&gt;&lt;/Cite&gt;&lt;Cite  &gt;&lt;Author&gt;Nation, P.&lt;/Author&gt;&lt;Year&gt;1989&lt;/Year&gt;&lt;RecNum&gt;10619&lt;/RecNum&gt;&lt;record&gt;&lt;database name="allrefs.enl" path="/Files/EndNote/allrefs.enl"&gt;allrefs.enl&lt;/database&gt;&lt;source-app name="EndNote" version="14.0"&gt;EndNote&lt;/source-app&gt;&lt;rec-number&gt;10619&lt;/rec-number&gt;&lt;foreign-keys&gt;&lt;key app="EN" db-id="d90vsetwrpftsqew0f8pa5d3eepftezf5xpp"&gt;10619&lt;/key&gt;&lt;/foreign-keys&gt;&lt;ref-type name="Journal Article"&gt;17&lt;/ref-type&gt;&lt;contributors&gt;&lt;authors&gt;&lt;author&gt;&lt;style face="normal" font="default" size="100%"&gt;Nation, P.&lt;/style&gt;&lt;/author&gt;&lt;/authors&gt;&lt;/contributors&gt;&lt;titles&gt;&lt;title&gt;&lt;style face="normal" font="default" size="100%"&gt;Improving speaking fluency&lt;/style&gt;&lt;/title&gt;&lt;secondary-title&gt;&lt;style face="normal" font="default" size="100%"&gt;System&lt;/style&gt;&lt;/secondary-title&gt;&lt;/titles&gt;&lt;periodical&gt;&lt;full-title&gt;&lt;style face="normal" font="default" size="100%"&gt;System&lt;/style&gt;&lt;/full-title&gt;&lt;/periodical&gt;&lt;pages&gt;&lt;style face="normal" font="default" size="100%"&gt;377-384&lt;/style&gt;&lt;/pages&gt;&lt;volume&gt;&lt;style face="normal" font="default" size="100%"&gt;17&lt;/style&gt;&lt;/volume&gt;&lt;dates&gt;&lt;year&gt;&lt;style face="normal" font="default" size="100%"&gt;1989&lt;/style&gt;&lt;/year&gt;&lt;/dates&gt;&lt;urls/&gt;&lt;/record&gt;&lt;/Cite&gt;&lt;/EndNote&gt;</w:instrText>
      </w:r>
      <w:r>
        <w:rPr/>
        <w:fldChar w:fldCharType="separate" w:fldLock="0"/>
      </w:r>
      <w:r>
        <w:rPr>
          <w:rtl w:val="0"/>
        </w:rPr>
        <w:t>(Maurice, 1983; Nation, 1989)</w:t>
      </w:r>
      <w:r>
        <w:rPr/>
        <w:fldChar w:fldCharType="end" w:fldLock="0"/>
      </w:r>
      <w:r>
        <w:rPr>
          <w:rtl w:val="0"/>
        </w:rPr>
        <w:t xml:space="preserve">.  Improvement in fluency after training can be measured in terms of decreasing pause length and reduced errors and omissions. </w:t>
      </w:r>
    </w:p>
    <w:p>
      <w:pPr>
        <w:pStyle w:val="Heading 2"/>
        <w:numPr>
          <w:ilvl w:val="1"/>
          <w:numId w:val="1"/>
        </w:numPr>
        <w:bidi w:val="0"/>
      </w:pPr>
      <w:r>
        <w:rPr>
          <w:rtl w:val="0"/>
          <w:lang w:val="en-US"/>
        </w:rPr>
        <w:t>Error Analysis</w:t>
      </w:r>
    </w:p>
    <w:p>
      <w:pPr>
        <w:pStyle w:val="Normal.0"/>
        <w:bidi w:val="0"/>
        <w:rPr>
          <w:rStyle w:val="Default Paragraph Font.0"/>
        </w:rPr>
      </w:pPr>
      <w:r>
        <w:rPr>
          <w:rtl w:val="0"/>
        </w:rPr>
        <w:t xml:space="preserve">Language acquisition studies often focus on ways in which learner corpora diverge from the   standards of the target language.  In studies of second language learning, Corder </w:t>
      </w:r>
      <w:r>
        <w:rPr/>
        <w:fldChar w:fldCharType="begin" w:fldLock="0"/>
      </w:r>
      <w:r>
        <w:instrText xml:space="preserve"> ADDIN EN.CITE &lt;EndNote&gt;&lt;Cite ExcludeAuth="1" &gt;&lt;Author&gt;Corder, S.P.&lt;/Author&gt;&lt;Year&gt;1983&lt;/Year&gt;&lt;RecNum&gt;914&lt;/RecNum&gt;&lt;DisplayText&gt;(1983)&lt;/DisplayText&gt;&lt;record&gt;&lt;database name="allrefs.enl" path="/Files/EndNote/allrefs.enl"&gt;allrefs.enl&lt;/database&gt;&lt;source-app name="EndNote" version="14.0"&gt;EndNote&lt;/source-app&gt;&lt;rec-number&gt;914&lt;/rec-number&gt;&lt;foreign-keys&gt;&lt;key app="EN" db-id="d90vsetwrpftsqew0f8pa5d3eepftezf5xpp"&gt;914&lt;/key&gt;&lt;/foreign-keys&gt;&lt;ref-type name="Book Section"&gt;5&lt;/ref-type&gt;&lt;contributors&gt;&lt;authors&gt;&lt;author&gt;&lt;style face="normal" font="default" size="100%"&gt;Corder, S.P.&lt;/style&gt;&lt;/author&gt;&lt;/authors&gt;&lt;secondary-authors&gt;&lt;author&gt;&lt;style face="normal" font="default" size="100%"&gt;S. Gass&lt;/style&gt;&lt;/author&gt;&lt;author&gt;&lt;style face="normal" font="default" size="100%"&gt;L. Selinker&lt;/style&gt;&lt;/author&gt;&lt;/secondary-authors&gt;&lt;/contributors&gt;&lt;titles&gt;&lt;title&gt;&lt;style face="normal" font="default" size="100%"&gt;A role for the mother tongue&lt;/style&gt;&lt;/title&gt;&lt;secondary-title&gt;&lt;style face="normal" font="default" size="100%"&gt;Language transfer in language learning&lt;/style&gt;&lt;/secondary-title&gt;&lt;/titles&gt;&lt;dates&gt;&lt;year&gt;&lt;style face="normal" font="default" size="100%"&gt;1983&lt;/style&gt;&lt;/year&gt;&lt;/dates&gt;&lt;pub-location&gt;&lt;style face="normal" font="default" size="100%"&gt;Rowley, MA&lt;/style&gt;&lt;/pub-location&gt;&lt;publisher&gt;&lt;style face="normal" font="default" size="100%"&gt;Newbury House&lt;/style&gt;&lt;/publisher&gt;&lt;abstract&gt;&lt;style face="normal" font="default" size="100%"&gt;incollection&lt;/style&gt;&lt;/abstract&gt;&lt;urls/&gt;&lt;/record&gt;&lt;/Cite&gt;&lt;/EndNote&gt;</w:instrText>
      </w:r>
      <w:r>
        <w:rPr/>
        <w:fldChar w:fldCharType="separate" w:fldLock="0"/>
      </w:r>
      <w:r>
        <w:rPr>
          <w:rtl w:val="0"/>
        </w:rPr>
        <w:t>(1983)</w:t>
      </w:r>
      <w:r>
        <w:rPr/>
        <w:fldChar w:fldCharType="end" w:fldLock="0"/>
      </w:r>
      <w:r>
        <w:rPr>
          <w:rtl w:val="0"/>
        </w:rPr>
        <w:t xml:space="preserve"> placed an emphasis on the value of Error Analysis.  However, other researchers noted that learner grammars are not merely degenerate versions of the target grammar, but have their own systematicity, as expressed in the notion of an learner</w:t>
      </w:r>
      <w:r>
        <w:rPr>
          <w:rtl w:val="0"/>
        </w:rPr>
        <w:t>’</w:t>
      </w:r>
      <w:r>
        <w:rPr>
          <w:rtl w:val="0"/>
        </w:rPr>
        <w:t xml:space="preserve">s interlanguage </w:t>
      </w:r>
      <w:r>
        <w:rPr/>
        <w:fldChar w:fldCharType="begin" w:fldLock="0"/>
      </w:r>
      <w:r>
        <w:instrText xml:space="preserve"> ADDIN EN.CITE &lt;EndNote&gt;&lt;Cite  &gt;&lt;Author&gt;Selinker, L.&lt;/Author&gt;&lt;Year&gt;1975&lt;/Year&gt;&lt;RecNum&gt;3747&lt;/RecNum&gt;&lt;DisplayText&gt;(Selinker, Swain, &amp; Dumas, 1975)&lt;/DisplayText&gt;&lt;record&gt;&lt;database name="allrefs.enl" path="/Files/EndNote/allrefs.enl"&gt;allrefs.enl&lt;/database&gt;&lt;source-app name="EndNote" version="14.0"&gt;EndNote&lt;/source-app&gt;&lt;rec-number&gt;3747&lt;/rec-number&gt;&lt;foreign-keys&gt;&lt;key app="EN" db-id="d90vsetwrpftsqew0f8pa5d3eepftezf5xpp"&gt;3747&lt;/key&gt;&lt;/foreign-keys&gt;&lt;ref-type name="Journal Article"&gt;17&lt;/ref-type&gt;&lt;contributors&gt;&lt;authors&gt;&lt;author&gt;&lt;style face="normal" font="default" size="100%"&gt;Selinker, L.&lt;/style&gt;&lt;/author&gt;&lt;author&gt;&lt;style face="normal" font="default" size="100%"&gt;Swain, M.&lt;/style&gt;&lt;/author&gt;&lt;author&gt;&lt;style face="normal" font="default" size="100%"&gt;Dumas, G.&lt;/style&gt;&lt;/author&gt;&lt;/authors&gt;&lt;/contributors&gt;&lt;titles&gt;&lt;title&gt;&lt;style face="normal" font="default" size="100%"&gt;The interlanguage hypothesis extended to children&lt;/style&gt;&lt;/title&gt;&lt;secondary-title&gt;&lt;style face="normal" font="default" size="100%"&gt;Language Learning&lt;/style&gt;&lt;/secondary-title&gt;&lt;/titles&gt;&lt;periodical&gt;&lt;full-title&gt;&lt;style face="normal" font="default" size="100%"&gt;Language Learning&lt;/style&gt;&lt;/full-title&gt;&lt;/periodical&gt;&lt;pages&gt;&lt;style face="normal" font="default" size="100%"&gt;139-152&lt;/style&gt;&lt;/pages&gt;&lt;volume&gt;&lt;style face="normal" font="default" size="100%"&gt;25&lt;/style&gt;&lt;/volume&gt;&lt;dates&gt;&lt;year&gt;&lt;style face="normal" font="default" size="100%"&gt;1975&lt;/style&gt;&lt;/year&gt;&lt;/dates&gt;&lt;urls/&gt;&lt;/record&gt;&lt;/Cite&gt;&lt;/EndNote&gt;</w:instrText>
      </w:r>
      <w:r>
        <w:rPr/>
        <w:fldChar w:fldCharType="separate" w:fldLock="0"/>
      </w:r>
      <w:r>
        <w:rPr>
          <w:rtl w:val="0"/>
        </w:rPr>
        <w:t>(Selinker, Swain, &amp; Dumas, 1975)</w:t>
      </w:r>
      <w:r>
        <w:rPr/>
        <w:fldChar w:fldCharType="end" w:fldLock="0"/>
      </w:r>
      <w:r>
        <w:rPr>
          <w:rtl w:val="0"/>
        </w:rPr>
        <w:t>. However, even if one views the learner</w:t>
      </w:r>
      <w:r>
        <w:rPr>
          <w:rtl w:val="0"/>
        </w:rPr>
        <w:t>’</w:t>
      </w:r>
      <w:r>
        <w:rPr>
          <w:rtl w:val="0"/>
        </w:rPr>
        <w:t xml:space="preserve">s productions as structured into an interlanguage, it is helpful to compare divergences between that interlanguage and the target language.  To facilitate this type of analysis, the CHAT coding system provides a hierarchical system of error coding.  This system has been most extensively and consistently applied to the corpora in AphasiaBank. Aphasic speech involves many types of phonological and grammatical errors only rarely found in speech from normal child and adult learners. However, first and second language learners also demonstrate unique patterns of errors.  The goal of the TalkBank error coding system is to be applicable to coding for each of these groups. </w:t>
      </w:r>
    </w:p>
    <w:p>
      <w:pPr>
        <w:pStyle w:val="Heading 2"/>
        <w:numPr>
          <w:ilvl w:val="1"/>
          <w:numId w:val="1"/>
        </w:numPr>
        <w:bidi w:val="0"/>
        <w:rPr>
          <w:rStyle w:val="Default Paragraph Font.0"/>
          <w:sz w:val="20"/>
          <w:szCs w:val="20"/>
        </w:rPr>
      </w:pPr>
      <w:r>
        <w:rPr>
          <w:rStyle w:val="Default Paragraph Font.0"/>
          <w:rtl w:val="0"/>
          <w:lang w:val="en-US"/>
        </w:rPr>
        <w:t>Feedback Studies</w:t>
      </w:r>
    </w:p>
    <w:p>
      <w:pPr>
        <w:pStyle w:val="Normal.0"/>
        <w:bidi w:val="0"/>
        <w:rPr>
          <w:rStyle w:val="Default Paragraph Font.0"/>
        </w:rPr>
      </w:pPr>
      <w:r>
        <w:rPr>
          <w:rStyle w:val="Default Paragraph Font.0"/>
          <w:rtl w:val="0"/>
        </w:rPr>
        <w:t>The study of learners</w:t>
      </w:r>
      <w:r>
        <w:rPr>
          <w:rStyle w:val="Default Paragraph Font.0"/>
          <w:rtl w:val="0"/>
        </w:rPr>
        <w:t xml:space="preserve">’ </w:t>
      </w:r>
      <w:r>
        <w:rPr>
          <w:rStyle w:val="Default Paragraph Font.0"/>
          <w:rtl w:val="0"/>
        </w:rPr>
        <w:t xml:space="preserve">errors leads directly to the study of ways in which conversational partners can provide corrective feedback as well as positive exemplars </w:t>
      </w:r>
      <w:r>
        <w:rPr/>
        <w:fldChar w:fldCharType="begin" w:fldLock="0"/>
      </w:r>
      <w:r>
        <w:instrText xml:space="preserve"> ADDIN EN.CITE &lt;EndNote&gt;&lt;Cite  &gt;&lt;Author&gt;MacWhinney, B.&lt;/Author&gt;&lt;Year&gt;2004&lt;/Year&gt;&lt;RecNum&gt;9536&lt;/RecNum&gt;&lt;DisplayText&gt;(MacWhinney, 2004)&lt;/DisplayText&gt;&lt;record&gt;&lt;database name="allrefs.enl" path="/Files/EndNote/allrefs.enl"&gt;allrefs.enl&lt;/database&gt;&lt;source-app name="EndNote" version="14.0"&gt;EndNote&lt;/source-app&gt;&lt;rec-number&gt;9536&lt;/rec-number&gt;&lt;foreign-keys&gt;&lt;key app="EN" db-id="d90vsetwrpftsqew0f8pa5d3eepftezf5xpp"&gt;9536&lt;/key&gt;&lt;/foreign-keys&gt;&lt;ref-type name="Journal Article"&gt;17&lt;/ref-type&gt;&lt;contributors&gt;&lt;authors&gt;&lt;author&gt;&lt;style face="normal" font="default" size="100%"&gt;MacWhinney, B.&lt;/style&gt;&lt;/author&gt;&lt;/authors&gt;&lt;/contributors&gt;&lt;titles&gt;&lt;title&gt;&lt;style face="normal" font="default" size="100%"&gt;A multiple process solution to the logical problem of language acquisition&lt;/style&gt;&lt;/title&gt;&lt;secondary-title&gt;&lt;style face="normal" font="default" size="100%"&gt;Journal of Child Language&lt;/style&gt;&lt;/secondary-title&gt;&lt;/titles&gt;&lt;periodical&gt;&lt;full-title&gt;&lt;style face="normal" font="default" size="100%"&gt;Journal of Child Language&lt;/style&gt;&lt;/full-title&gt;&lt;/periodical&gt;&lt;pages&gt;&lt;style face="normal" font="default" size="100%"&gt;883-914&lt;/style&gt;&lt;/pages&gt;&lt;volume&gt;&lt;style face="normal" font="default" size="100%"&gt;31&lt;/style&gt;&lt;/volume&gt;&lt;dates&gt;&lt;year&gt;&lt;style face="normal" font="default" size="100%"&gt;2004&lt;/style&gt;&lt;/year&gt;&lt;/dates&gt;&lt;urls/&gt;&lt;/record&gt;&lt;/Cite&gt;&lt;/EndNote&gt;</w:instrText>
      </w:r>
      <w:r>
        <w:rPr/>
        <w:fldChar w:fldCharType="separate" w:fldLock="0"/>
      </w:r>
      <w:r>
        <w:rPr>
          <w:rtl w:val="0"/>
        </w:rPr>
        <w:t>(MacWhinney, 2004)</w:t>
      </w:r>
      <w:r>
        <w:rPr/>
        <w:fldChar w:fldCharType="end" w:fldLock="0"/>
      </w:r>
      <w:r>
        <w:rPr>
          <w:rStyle w:val="Default Paragraph Font.0"/>
          <w:rtl w:val="0"/>
        </w:rPr>
        <w:t xml:space="preserve">.  The most extreme cases here arise when the learner produces an overt formal error, such as </w:t>
      </w:r>
      <w:r>
        <w:rPr>
          <w:rStyle w:val="Default Paragraph Font.0"/>
          <w:rtl w:val="0"/>
        </w:rPr>
        <w:t>“</w:t>
      </w:r>
      <w:r>
        <w:rPr>
          <w:rStyle w:val="Default Paragraph Font.0"/>
          <w:rtl w:val="0"/>
        </w:rPr>
        <w:t>goed</w:t>
      </w:r>
      <w:r>
        <w:rPr>
          <w:rStyle w:val="Default Paragraph Font.0"/>
          <w:rtl w:val="0"/>
        </w:rPr>
        <w:t xml:space="preserve">” </w:t>
      </w:r>
      <w:r>
        <w:rPr>
          <w:rStyle w:val="Default Paragraph Font.0"/>
          <w:rtl w:val="0"/>
        </w:rPr>
        <w:t xml:space="preserve">and the parent  or teacher makes a overt formal correction by saying, </w:t>
      </w:r>
      <w:r>
        <w:rPr>
          <w:rStyle w:val="Default Paragraph Font.0"/>
          <w:rtl w:val="0"/>
        </w:rPr>
        <w:t>“</w:t>
      </w:r>
      <w:r>
        <w:rPr>
          <w:rStyle w:val="Default Paragraph Font.0"/>
          <w:rtl w:val="0"/>
        </w:rPr>
        <w:t>No, you can</w:t>
      </w:r>
      <w:r>
        <w:rPr>
          <w:rStyle w:val="Default Paragraph Font.0"/>
          <w:rtl w:val="0"/>
        </w:rPr>
        <w:t>’</w:t>
      </w:r>
      <w:r>
        <w:rPr>
          <w:rStyle w:val="Default Paragraph Font.0"/>
          <w:rtl w:val="0"/>
        </w:rPr>
        <w:t xml:space="preserve">t say </w:t>
      </w:r>
      <w:r>
        <w:rPr>
          <w:rStyle w:val="Default Paragraph Font.0"/>
          <w:rtl w:val="0"/>
        </w:rPr>
        <w:t>‘</w:t>
      </w:r>
      <w:r>
        <w:rPr>
          <w:rStyle w:val="Default Paragraph Font.0"/>
          <w:rtl w:val="0"/>
        </w:rPr>
        <w:t>goed</w:t>
      </w:r>
      <w:r>
        <w:rPr>
          <w:rStyle w:val="Default Paragraph Font.0"/>
          <w:rtl w:val="0"/>
        </w:rPr>
        <w:t>’</w:t>
      </w:r>
      <w:r>
        <w:rPr>
          <w:rStyle w:val="Default Paragraph Font.0"/>
          <w:rtl w:val="0"/>
        </w:rPr>
        <w:t xml:space="preserve">, you have to say </w:t>
      </w:r>
      <w:r>
        <w:rPr>
          <w:rStyle w:val="Default Paragraph Font.0"/>
          <w:rtl w:val="0"/>
        </w:rPr>
        <w:t>‘</w:t>
      </w:r>
      <w:r>
        <w:rPr>
          <w:rStyle w:val="Default Paragraph Font.0"/>
          <w:rtl w:val="0"/>
        </w:rPr>
        <w:t>went</w:t>
      </w:r>
      <w:r>
        <w:rPr>
          <w:rStyle w:val="Default Paragraph Font.0"/>
          <w:rtl w:val="0"/>
        </w:rPr>
        <w:t>’”</w:t>
      </w:r>
      <w:r>
        <w:rPr>
          <w:rStyle w:val="Default Paragraph Font.0"/>
          <w:rtl w:val="0"/>
        </w:rPr>
        <w:t xml:space="preserve">.  There is extensive debate in the literature about the extent to which such overt correction occurs and whether it has a positive impact on the learner.  Apart from this form of correction, there has also been study of less explicit correction through recasting </w:t>
      </w:r>
      <w:r>
        <w:rPr/>
        <w:fldChar w:fldCharType="begin" w:fldLock="0"/>
      </w:r>
      <w:r>
        <w:instrText xml:space="preserve"> ADDIN EN.CITE &lt;EndNote&gt;&lt;Cite  &gt;&lt;Author&gt;Bohannon, N.&lt;/Author&gt;&lt;Year&gt;1990&lt;/Year&gt;&lt;RecNum&gt;4680&lt;/RecNum&gt;&lt;DisplayText&gt;(Bohannon, MacWhinney, &amp; Snow, 1990)&lt;/DisplayText&gt;&lt;record&gt;&lt;database name="allrefs.enl" path="/Files/EndNote/allrefs.enl"&gt;allrefs.enl&lt;/database&gt;&lt;source-app name="EndNote" version="14.0"&gt;EndNote&lt;/source-app&gt;&lt;rec-number&gt;4680&lt;/rec-number&gt;&lt;foreign-keys&gt;&lt;key app="EN" db-id="d90vsetwrpftsqew0f8pa5d3eepftezf5xpp"&gt;4680&lt;/key&gt;&lt;/foreign-keys&gt;&lt;ref-type name="Journal Article"&gt;17&lt;/ref-type&gt;&lt;contributors&gt;&lt;authors&gt;&lt;author&gt;&lt;style face="normal" font="default" size="100%"&gt;Bohannon, N.&lt;/style&gt;&lt;/author&gt;&lt;author&gt;&lt;style face="normal" font="default" size="100%"&gt;MacWhinney, B.&lt;/style&gt;&lt;/author&gt;&lt;author&gt;&lt;style face="normal" font="default" size="100%"&gt;Snow, C.&lt;/style&gt;&lt;/author&gt;&lt;/authors&gt;&lt;/contributors&gt;&lt;titles&gt;&lt;title&gt;&lt;style face="normal" font="default" size="100%"&gt;No negative evidence revisited: Beyond learnability or who has to prove what to whom&lt;/style&gt;&lt;/title&gt;&lt;secondary-title&gt;&lt;style face="normal" font="default" size="100%"&gt;Developmental Psychology&lt;/style&gt;&lt;/secondary-title&gt;&lt;/titles&gt;&lt;periodical&gt;&lt;full-title&gt;&lt;style face="normal" font="default" size="100%"&gt;Developmental Psychology&lt;/style&gt;&lt;/full-title&gt;&lt;/periodical&gt;&lt;pages&gt;&lt;style face="normal" font="default" size="100%"&gt;221-226&lt;/style&gt;&lt;/pages&gt;&lt;volume&gt;&lt;style face="normal" font="default" size="100%"&gt;26&lt;/style&gt;&lt;/volume&gt;&lt;keywords&gt;&lt;keyword&gt;&lt;style face="normal" font="default" size="100%"&gt;CHILDES recasts negative evidence&lt;/style&gt;&lt;/keyword&gt;&lt;/keywords&gt;&lt;dates&gt;&lt;year&gt;&lt;style face="normal" font="default" size="100%"&gt;1990&lt;/style&gt;&lt;/year&gt;&lt;/dates&gt;&lt;urls/&gt;&lt;/record&gt;&lt;/Cite&gt;&lt;/EndNote&gt;</w:instrText>
      </w:r>
      <w:r>
        <w:rPr/>
        <w:fldChar w:fldCharType="separate" w:fldLock="0"/>
      </w:r>
      <w:r>
        <w:rPr>
          <w:rtl w:val="0"/>
        </w:rPr>
        <w:t>(Bohannon, MacWhinney, &amp; Snow, 1990)</w:t>
      </w:r>
      <w:r>
        <w:rPr/>
        <w:fldChar w:fldCharType="end" w:fldLock="0"/>
      </w:r>
      <w:r>
        <w:rPr>
          <w:rStyle w:val="Default Paragraph Font.0"/>
          <w:rtl w:val="0"/>
        </w:rPr>
        <w:t xml:space="preserve">.    Researchers also believe that learners can make effective use of clear patterns of language presentation in the form of </w:t>
      </w:r>
      <w:r>
        <w:rPr>
          <w:rStyle w:val="Default Paragraph Font.0"/>
          <w:rtl w:val="0"/>
        </w:rPr>
        <w:t>“</w:t>
      </w:r>
      <w:r>
        <w:rPr>
          <w:rStyle w:val="Default Paragraph Font.0"/>
          <w:rtl w:val="0"/>
        </w:rPr>
        <w:t>variation sets</w:t>
      </w:r>
      <w:r>
        <w:rPr>
          <w:rStyle w:val="Default Paragraph Font.0"/>
          <w:rtl w:val="0"/>
        </w:rPr>
        <w:t xml:space="preserve">” </w:t>
      </w:r>
      <w:r>
        <w:rPr/>
        <w:fldChar w:fldCharType="begin" w:fldLock="0"/>
      </w:r>
      <w:r>
        <w:instrText xml:space="preserve"> ADDIN EN.CITE &lt;EndNote&gt;&lt;Cite  &gt;&lt;Author&gt;Waterfall, H.&lt;/Author&gt;&lt;Year&gt;2010&lt;/Year&gt;&lt;RecNum&gt;11070&lt;/RecNum&gt;&lt;DisplayText&gt;(Waterfall et al., 2010)&lt;/DisplayText&gt;&lt;record&gt;&lt;database name="allrefs.enl" path="/Files/EndNote/allrefs.enl"&gt;allrefs.enl&lt;/database&gt;&lt;source-app name="EndNote" version="14.0"&gt;EndNote&lt;/source-app&gt;&lt;rec-number&gt;11070&lt;/rec-number&gt;&lt;foreign-keys&gt;&lt;key app="EN" db-id="d90vsetwrpftsqew0f8pa5d3eepftezf5xpp"&gt;11070&lt;/key&gt;&lt;/foreign-keys&gt;&lt;ref-type name="Journal Article"&gt;17&lt;/ref-type&gt;&lt;contributors&gt;&lt;authors&gt;&lt;author&gt;&lt;style face="normal" font="default" size="100%"&gt;Waterfall, H.&lt;/style&gt;&lt;/author&gt;&lt;author&gt;&lt;style face="normal" font="default" size="100%"&gt;Sandbank, B.&lt;/style&gt;&lt;/author&gt;&lt;author&gt;&lt;style face="normal" font="default" size="100%"&gt;Onnis, L.&lt;/style&gt;&lt;/author&gt;&lt;author&gt;&lt;style face="normal" font="default" size="100%"&gt;Edelman, S.&lt;/style&gt;&lt;/author&gt;&lt;/authors&gt;&lt;/contributors&gt;&lt;titles&gt;&lt;title&gt;&lt;style face="normal" font="default" size="100%"&gt;An empirical generative framework for computational modeling of language acquisition&lt;/style&gt;&lt;/title&gt;&lt;secondary-title&gt;&lt;style face="normal" font="default" size="100%"&gt;Journal of Child Language&lt;/style&gt;&lt;/secondary-title&gt;&lt;/titles&gt;&lt;periodical&gt;&lt;full-title&gt;&lt;style face="normal" font="default" size="100%"&gt;Journal of Child Language&lt;/style&gt;&lt;/full-title&gt;&lt;/periodical&gt;&lt;pages&gt;&lt;style face="normal" font="default" size="100%"&gt;671-703&lt;/style&gt;&lt;/pages&gt;&lt;volume&gt;&lt;style face="normal" font="default" size="100%"&gt;37&lt;/style&gt;&lt;/volume&gt;&lt;dates&gt;&lt;year&gt;&lt;style face="normal" font="default" size="100%"&gt;2010&lt;/style&gt;&lt;/year&gt;&lt;/dates&gt;&lt;urls/&gt;&lt;/record&gt;&lt;/Cite&gt;&lt;/EndNote&gt;</w:instrText>
      </w:r>
      <w:r>
        <w:rPr/>
        <w:fldChar w:fldCharType="separate" w:fldLock="0"/>
      </w:r>
      <w:r>
        <w:rPr>
          <w:rtl w:val="0"/>
        </w:rPr>
        <w:t>(Waterfall et al., 2010)</w:t>
      </w:r>
      <w:r>
        <w:rPr/>
        <w:fldChar w:fldCharType="end" w:fldLock="0"/>
      </w:r>
      <w:r>
        <w:rPr>
          <w:rStyle w:val="Default Paragraph Font.0"/>
          <w:rtl w:val="0"/>
        </w:rPr>
        <w:t xml:space="preserve">.  In these sets, parents illustrate language patterns through item and replacement schemes.  Yet another interactional pattern that is thought to facilitate language learning is the process of fine-tuning that occurs between parents and children.  When parents become aware that their children are making use of some new syntactic or lexical pattern, they then increase their own use of this pattern on a level that is appropriate for the child </w:t>
      </w:r>
      <w:r>
        <w:rPr/>
        <w:fldChar w:fldCharType="begin" w:fldLock="0"/>
      </w:r>
      <w:r>
        <w:instrText xml:space="preserve"> ADDIN EN.CITE &lt;EndNote&gt;&lt;Cite  &gt;&lt;Author&gt;Sokolov, J. L.&lt;/Author&gt;&lt;Year&gt;1993&lt;/Year&gt;&lt;RecNum&gt;5098&lt;/RecNum&gt;&lt;DisplayText&gt;(Sokolov, 1993)&lt;/DisplayText&gt;&lt;record&gt;&lt;database name="allrefs.enl" path="/Files/EndNote/allrefs.enl"&gt;allrefs.enl&lt;/database&gt;&lt;source-app name="EndNote" version="14.0"&gt;EndNote&lt;/source-app&gt;&lt;rec-number&gt;5098&lt;/rec-number&gt;&lt;foreign-keys&gt;&lt;key app="EN" db-id="d90vsetwrpftsqew0f8pa5d3eepftezf5xpp"&gt;5098&lt;/key&gt;&lt;/foreign-keys&gt;&lt;ref-type name="Journal Article"&gt;17&lt;/ref-type&gt;&lt;contributors&gt;&lt;authors&gt;&lt;author&gt;&lt;style face="normal" font="default" size="100%"&gt;Sokolov, J. L.&lt;/style&gt;&lt;/author&gt;&lt;/authors&gt;&lt;/contributors&gt;&lt;titles&gt;&lt;title&gt;&lt;style face="normal" font="default" size="100%"&gt;A local contingency analysis of the fine-tuning hypothesis&lt;/style&gt;&lt;/title&gt;&lt;secondary-title&gt;&lt;style face="normal" font="default" size="100%"&gt;Developmental Psychology&lt;/style&gt;&lt;/secondary-title&gt;&lt;/titles&gt;&lt;periodical&gt;&lt;full-title&gt;&lt;style face="normal" font="default" size="100%"&gt;Developmental Psychology&lt;/style&gt;&lt;/full-title&gt;&lt;/periodical&gt;&lt;pages&gt;&lt;style face="normal" font="default" size="100%"&gt;1008-1023&lt;/style&gt;&lt;/pages&gt;&lt;volume&gt;&lt;style face="normal" font="default" size="100%"&gt;29&lt;/style&gt;&lt;/volume&gt;&lt;keywords&gt;&lt;keyword&gt;&lt;style face="normal" font="default" size="100%"&gt;CHILDES negative evidence&lt;/style&gt;&lt;/keyword&gt;&lt;/keywords&gt;&lt;dates&gt;&lt;year&gt;&lt;style face="normal" font="default" size="100%"&gt;1993&lt;/style&gt;&lt;/year&gt;&lt;/dates&gt;&lt;urls/&gt;&lt;/record&gt;&lt;/Cite&gt;&lt;/EndNote&gt;</w:instrText>
      </w:r>
      <w:r>
        <w:rPr/>
        <w:fldChar w:fldCharType="separate" w:fldLock="0"/>
      </w:r>
      <w:r>
        <w:rPr>
          <w:rtl w:val="0"/>
        </w:rPr>
        <w:t>(Sokolov, 1993)</w:t>
      </w:r>
      <w:r>
        <w:rPr/>
        <w:fldChar w:fldCharType="end" w:fldLock="0"/>
      </w:r>
      <w:r>
        <w:rPr>
          <w:rStyle w:val="Default Paragraph Font.0"/>
          <w:rtl w:val="0"/>
        </w:rPr>
        <w:t>.  CLAN programs such as CHIP, CHAINS, and KEYMAP can be used to track these ways of providing  fine-tuning, feedback, and examples.</w:t>
      </w:r>
    </w:p>
    <w:p>
      <w:pPr>
        <w:pStyle w:val="Heading 2"/>
        <w:numPr>
          <w:ilvl w:val="1"/>
          <w:numId w:val="1"/>
        </w:numPr>
        <w:bidi w:val="0"/>
      </w:pPr>
      <w:r>
        <w:rPr>
          <w:rtl w:val="0"/>
          <w:lang w:val="en-US"/>
        </w:rPr>
        <w:t>CA Analysis</w:t>
      </w:r>
    </w:p>
    <w:p>
      <w:pPr>
        <w:pStyle w:val="Normal.0"/>
        <w:bidi w:val="0"/>
        <w:rPr>
          <w:rStyle w:val="Default Paragraph Font.0"/>
        </w:rPr>
      </w:pPr>
      <w:r>
        <w:rPr>
          <w:rtl w:val="0"/>
        </w:rPr>
        <w:t xml:space="preserve">TalkBank corpora are now also being used for research within the framework of Conversation Analysis </w:t>
      </w:r>
      <w:r>
        <w:rPr/>
        <w:fldChar w:fldCharType="begin" w:fldLock="0"/>
      </w:r>
      <w:r>
        <w:instrText xml:space="preserve"> ADDIN EN.CITE &lt;EndNote&gt;&lt;Cite  &gt;&lt;Author&gt;Schegloff, E.&lt;/Author&gt;&lt;Year&gt;2007&lt;/Year&gt;&lt;RecNum&gt;10898&lt;/RecNum&gt;&lt;DisplayText&gt;(Schegloff, 2007)&lt;/DisplayText&gt;&lt;record&gt;&lt;database name="allrefs.enl" path="/Files/EndNote/allrefs.enl"&gt;allrefs.enl&lt;/database&gt;&lt;source-app name="EndNote" version="14.0"&gt;EndNote&lt;/source-app&gt;&lt;rec-number&gt;10898&lt;/rec-number&gt;&lt;foreign-keys&gt;&lt;key app="EN" db-id="d90vsetwrpftsqew0f8pa5d3eepftezf5xpp"&gt;10898&lt;/key&gt;&lt;/foreign-keys&gt;&lt;ref-type name="Book"&gt;6&lt;/ref-type&gt;&lt;contributors&gt;&lt;authors&gt;&lt;author&gt;&lt;style face="normal" font="default" size="100%"&gt;Schegloff, E.&lt;/style&gt;&lt;/author&gt;&lt;/authors&gt;&lt;/contributors&gt;&lt;titles&gt;&lt;title&gt;&lt;style face="normal" font="default" size="100%"&gt;Sequence organization in interaction: A primer in conversation analysis&lt;/style&gt;&lt;/title&gt;&lt;/titles&gt;&lt;dates&gt;&lt;year&gt;&lt;style face="normal" font="default" size="100%"&gt;2007&lt;/style&gt;&lt;/year&gt;&lt;/dates&gt;&lt;pub-location&gt;&lt;style face="normal" font="default" size="100%"&gt;New York&lt;/style&gt;&lt;/pub-location&gt;&lt;publisher&gt;&lt;style face="normal" font="default" size="100%"&gt;Cambridge University Press&lt;/style&gt;&lt;/publisher&gt;&lt;urls/&gt;&lt;/record&gt;&lt;/Cite&gt;&lt;/EndNote&gt;</w:instrText>
      </w:r>
      <w:r>
        <w:rPr/>
        <w:fldChar w:fldCharType="separate" w:fldLock="0"/>
      </w:r>
      <w:r>
        <w:rPr>
          <w:rtl w:val="0"/>
        </w:rPr>
        <w:t>(Schegloff, 2007)</w:t>
      </w:r>
      <w:r>
        <w:rPr/>
        <w:fldChar w:fldCharType="end" w:fldLock="0"/>
      </w:r>
      <w:r>
        <w:rPr>
          <w:rtl w:val="0"/>
        </w:rPr>
        <w:t xml:space="preserve">.  Beginning in 2002, the CHAT transcription method was adapted to include all of the conventions of standard Jeffersonian CA transcription </w:t>
      </w:r>
      <w:r>
        <w:rPr/>
        <w:fldChar w:fldCharType="begin" w:fldLock="0"/>
      </w:r>
      <w:r>
        <w:instrText xml:space="preserve"> ADDIN EN.CITE &lt;EndNote&gt;&lt;Cite  &gt;&lt;Author&gt;Jefferson, G.&lt;/Author&gt;&lt;Year&gt;1984&lt;/Year&gt;&lt;RecNum&gt;2080&lt;/RecNum&gt;&lt;DisplayText&gt;(Jefferson, 1984)&lt;/DisplayText&gt;&lt;record&gt;&lt;database name="allrefs.enl" path="/Files/EndNote/allrefs.enl"&gt;allrefs.enl&lt;/database&gt;&lt;source-app name="EndNote" version="14.0"&gt;EndNote&lt;/source-app&gt;&lt;rec-number&gt;2080&lt;/rec-number&gt;&lt;foreign-keys&gt;&lt;key app="EN" db-id="d90vsetwrpftsqew0f8pa5d3eepftezf5xpp"&gt;2080&lt;/key&gt;&lt;/foreign-keys&gt;&lt;ref-type name="Book Section"&gt;5&lt;/ref-type&gt;&lt;contributors&gt;&lt;authors&gt;&lt;author&gt;&lt;style face="normal" font="default" size="100%"&gt;Jefferson, G.&lt;/style&gt;&lt;/author&gt;&lt;/authors&gt;&lt;secondary-authors&gt;&lt;author&gt;&lt;style face="normal" font="default" size="100%"&gt;Atkinson, J.&lt;/style&gt;&lt;/author&gt;&lt;author&gt;&lt;style face="normal" font="default" size="100%"&gt;Heritage, J.&lt;/style&gt;&lt;/author&gt;&lt;/secondary-authors&gt;&lt;/contributors&gt;&lt;titles&gt;&lt;title&gt;&lt;style face="normal" font="default" size="100%"&gt;Transcript notation&lt;/style&gt;&lt;/title&gt;&lt;secondary-title&gt;&lt;style face="normal" font="default" size="100%"&gt;Structures of social interaction: Studies in conversation analysis&lt;/style&gt;&lt;/secondary-title&gt;&lt;/titles&gt;&lt;pages&gt;&lt;style face="normal" font="default" size="100%"&gt;134-162&lt;/style&gt;&lt;/pages&gt;&lt;dates&gt;&lt;year&gt;&lt;style face="normal" font="default" size="100%"&gt;1984&lt;/style&gt;&lt;/year&gt;&lt;/dates&gt;&lt;pub-location&gt;&lt;style face="normal" font="default" size="100%"&gt;Cambridge&lt;/style&gt;&lt;/pub-location&gt;&lt;publisher&gt;&lt;style face="normal" font="default" size="100%"&gt;Cambridge University Press&lt;/style&gt;&lt;/publisher&gt;&lt;abstract&gt;&lt;style face="normal" font="default" size="100%"&gt;incollection&lt;/style&gt;&lt;/abstract&gt;&lt;urls/&gt;&lt;/record&gt;&lt;/Cite&gt;&lt;/EndNote&gt;</w:instrText>
      </w:r>
      <w:r>
        <w:rPr/>
        <w:fldChar w:fldCharType="separate" w:fldLock="0"/>
      </w:r>
      <w:r>
        <w:rPr>
          <w:rtl w:val="0"/>
        </w:rPr>
        <w:t>(Jefferson, 1984)</w:t>
      </w:r>
      <w:r>
        <w:rPr/>
        <w:fldChar w:fldCharType="end" w:fldLock="0"/>
      </w:r>
      <w:r>
        <w:rPr>
          <w:rtl w:val="0"/>
        </w:rPr>
        <w:t xml:space="preserve">.  Specific Unicode symbols were introduced to mark features such as pitch rise and fall, terminal contours, overlap alignment, and various vocal qualities. These markings, which are summarized in the table at </w:t>
      </w:r>
      <w:r>
        <w:rPr>
          <w:rStyle w:val="Hyperlink.1"/>
        </w:rPr>
        <w:fldChar w:fldCharType="begin" w:fldLock="0"/>
      </w:r>
      <w:r>
        <w:rPr>
          <w:rStyle w:val="Hyperlink.1"/>
        </w:rPr>
        <w:instrText xml:space="preserve"> HYPERLINK "http://talkbank.org/CABank/CAcodes.html"</w:instrText>
      </w:r>
      <w:r>
        <w:rPr>
          <w:rStyle w:val="Hyperlink.1"/>
        </w:rPr>
        <w:fldChar w:fldCharType="separate" w:fldLock="0"/>
      </w:r>
      <w:r>
        <w:rPr>
          <w:rStyle w:val="Hyperlink.1"/>
          <w:rtl w:val="0"/>
        </w:rPr>
        <w:t>http://talkbank.org/CABank/codes.html</w:t>
      </w:r>
      <w:r>
        <w:rPr/>
        <w:fldChar w:fldCharType="end" w:fldLock="0"/>
      </w:r>
      <w:r>
        <w:rPr>
          <w:rtl w:val="0"/>
        </w:rPr>
        <w:t xml:space="preserve">, can all be entered through simple pairs of keystrokes.  The DK-CLARIN CA Project organized by Johannes Wagner has created </w:t>
      </w:r>
      <w:r>
        <w:rPr>
          <w:rtl w:val="0"/>
        </w:rPr>
        <w:t>“</w:t>
      </w:r>
      <w:r>
        <w:rPr>
          <w:rtl w:val="0"/>
        </w:rPr>
        <w:t>gold standard</w:t>
      </w:r>
      <w:r>
        <w:rPr>
          <w:rtl w:val="0"/>
        </w:rPr>
        <w:t xml:space="preserve">” </w:t>
      </w:r>
      <w:r>
        <w:rPr>
          <w:rtl w:val="0"/>
        </w:rPr>
        <w:t>CA transcriptions for the Danish SamtaleBank collection and has reformatted Gail Jefferson</w:t>
      </w:r>
      <w:r>
        <w:rPr>
          <w:rtl w:val="0"/>
        </w:rPr>
        <w:t>’</w:t>
      </w:r>
      <w:r>
        <w:rPr>
          <w:rtl w:val="0"/>
        </w:rPr>
        <w:t>s Newport Beach and Watergate transcriptions into CA CHAT.  The TalkBank CA corpora now also include dozens of other corpora from group conversations, phone calls, and classroom interactions. Like the other corpora in TalkBank, these CA transcripts are linked directly to audio or video media. This linkage allows for greater analytic power in three directions.  First, it is now easier to listen repeatedly to specific segments to detect conversationally relevant signals and patterns.  This can facilitate analysis by individual researchers, discussion in data sessions, and the sharpening of collaborative commentary over the web.  Second, it is now easier to link transcript analysis to phonetic analysis, by directly sending individual segments to Praat for numerical analysis.  Third, with the construction of large databases of CA transcripts, it is possible to search for conversational features across interactions.  However, to achieve this goal, transcripts must be adapted to display features that can be easily identified by regular expression searches.</w:t>
      </w:r>
    </w:p>
    <w:p>
      <w:pPr>
        <w:pStyle w:val="Heading 2"/>
        <w:numPr>
          <w:ilvl w:val="1"/>
          <w:numId w:val="1"/>
        </w:numPr>
        <w:bidi w:val="0"/>
        <w:rPr>
          <w:rStyle w:val="Default Paragraph Font.0"/>
          <w:sz w:val="20"/>
          <w:szCs w:val="20"/>
        </w:rPr>
      </w:pPr>
      <w:r>
        <w:rPr>
          <w:rStyle w:val="Default Paragraph Font.0"/>
          <w:rtl w:val="0"/>
          <w:lang w:val="nl-NL"/>
        </w:rPr>
        <w:t>Modeling</w:t>
      </w:r>
    </w:p>
    <w:p>
      <w:pPr>
        <w:pStyle w:val="Normal.0"/>
        <w:bidi w:val="0"/>
        <w:rPr>
          <w:rStyle w:val="Default Paragraph Font.0"/>
        </w:rPr>
      </w:pPr>
      <w:r>
        <w:rPr>
          <w:rStyle w:val="Default Paragraph Font.0"/>
          <w:rtl w:val="0"/>
        </w:rPr>
        <w:t>Data analyzed using these various methods can be further examined through computational modeling.  The goals here are either to account for learning data or to account for conversational patterns.  Most current models focus on trying to account for learning of either first or second languages.  These models usually assume that learning involves the abstraction of patterns from the input data.  This means that the first step involved in building such models is to derive a good picture of the input to the learner. For example, models that seek to account for the learning of the English past tense have first attempted to characterize the frequency of different verb forms in CHILDES corpora.  The second step in building these models is to determine the developmental patterns in learners.  Once these two profiles have been extracted from the corpora, the model is used to show how the learner</w:t>
      </w:r>
      <w:r>
        <w:rPr>
          <w:rStyle w:val="Default Paragraph Font.0"/>
          <w:rtl w:val="0"/>
        </w:rPr>
        <w:t>’</w:t>
      </w:r>
      <w:r>
        <w:rPr>
          <w:rStyle w:val="Default Paragraph Font.0"/>
          <w:rtl w:val="0"/>
        </w:rPr>
        <w:t xml:space="preserve">s interlanguage can emerge from processing of the input.  </w:t>
      </w:r>
    </w:p>
    <w:p>
      <w:pPr>
        <w:pStyle w:val="Normal.0"/>
        <w:bidi w:val="0"/>
        <w:rPr>
          <w:rStyle w:val="Default Paragraph Font.0"/>
        </w:rPr>
      </w:pPr>
      <w:r>
        <w:rPr>
          <w:rStyle w:val="Default Paragraph Font.0"/>
          <w:rtl w:val="0"/>
        </w:rPr>
        <w:t xml:space="preserve">Neural network models have been used to account for morphological learning </w:t>
      </w:r>
      <w:r>
        <w:rPr/>
        <w:fldChar w:fldCharType="begin" w:fldLock="0"/>
      </w:r>
      <w:r>
        <w:instrText xml:space="preserve"> ADDIN EN.CITE &lt;EndNote&gt;&lt;Cite  &gt;&lt;Author&gt;MacWhinney, B.&lt;/Author&gt;&lt;Year&gt;1991&lt;/Year&gt;&lt;RecNum&gt;4965&lt;/RecNum&gt;&lt;DisplayText&gt;(MacWhinney &amp; Leinbach, 1991)&lt;/DisplayText&gt;&lt;record&gt;&lt;database name="allrefs.enl" path="/Files/EndNote/allrefs.enl"&gt;allrefs.enl&lt;/database&gt;&lt;source-app name="EndNote" version="14.0"&gt;EndNote&lt;/source-app&gt;&lt;rec-number&gt;4965&lt;/rec-number&gt;&lt;foreign-keys&gt;&lt;key app="EN" db-id="d90vsetwrpftsqew0f8pa5d3eepftezf5xpp"&gt;4965&lt;/key&gt;&lt;/foreign-keys&gt;&lt;ref-type name="Journal Article"&gt;17&lt;/ref-type&gt;&lt;contributors&gt;&lt;authors&gt;&lt;author&gt;&lt;style face="normal" font="default" size="100%"&gt;MacWhinney, B.&lt;/style&gt;&lt;/author&gt;&lt;author&gt;&lt;style face="normal" font="default" size="100%"&gt;Leinbach, J.&lt;/style&gt;&lt;/author&gt;&lt;/authors&gt;&lt;/contributors&gt;&lt;titles&gt;&lt;title&gt;&lt;style face="normal" font="default" size="100%"&gt;Implementations are not conceptualizations: Revising the verb learning model&lt;/style&gt;&lt;/title&gt;&lt;secondary-title&gt;&lt;style face="normal" font="default" size="100%"&gt;Cognition&lt;/style&gt;&lt;/secondary-title&gt;&lt;/titles&gt;&lt;periodical&gt;&lt;full-title&gt;&lt;style face="normal" font="default" size="100%"&gt;Cognition&lt;/style&gt;&lt;/full-title&gt;&lt;/periodical&gt;&lt;pages&gt;&lt;style face="normal" font="default" size="100%"&gt;121-157&lt;/style&gt;&lt;/pages&gt;&lt;volume&gt;&lt;style face="normal" font="default" size="100%"&gt;29&lt;/style&gt;&lt;/volume&gt;&lt;dates&gt;&lt;year&gt;&lt;style face="normal" font="default" size="100%"&gt;1991&lt;/style&gt;&lt;/year&gt;&lt;/dates&gt;&lt;urls/&gt;&lt;/record&gt;&lt;/Cite&gt;&lt;/EndNote&gt;</w:instrText>
      </w:r>
      <w:r>
        <w:rPr/>
        <w:fldChar w:fldCharType="separate" w:fldLock="0"/>
      </w:r>
      <w:r>
        <w:rPr>
          <w:rtl w:val="0"/>
        </w:rPr>
        <w:t>(MacWhinney &amp; Leinbach, 1991)</w:t>
      </w:r>
      <w:r>
        <w:rPr/>
        <w:fldChar w:fldCharType="end" w:fldLock="0"/>
      </w:r>
      <w:r>
        <w:rPr>
          <w:rStyle w:val="Default Paragraph Font.0"/>
          <w:rtl w:val="0"/>
        </w:rPr>
        <w:t xml:space="preserve">, segmentation </w:t>
      </w:r>
      <w:r>
        <w:rPr/>
        <w:fldChar w:fldCharType="begin" w:fldLock="0"/>
      </w:r>
      <w:r>
        <w:instrText xml:space="preserve"> ADDIN EN.CITE &lt;EndNote&gt;&lt;Cite  &gt;&lt;Author&gt;Monaghan, P.&lt;/Author&gt;&lt;Year&gt;2010&lt;/Year&gt;&lt;RecNum&gt;11066&lt;/RecNum&gt;&lt;DisplayText&gt;(Blanchard, Heinz, &amp; Golinkoff, 2010; Monaghan &amp; Christiansen, 2010)&lt;/DisplayText&gt;&lt;record&gt;&lt;database name="allrefs.enl" path="/Files/EndNote/allrefs.enl"&gt;allrefs.enl&lt;/database&gt;&lt;source-app name="EndNote" version="14.0"&gt;EndNote&lt;/source-app&gt;&lt;rec-number&gt;11066&lt;/rec-number&gt;&lt;foreign-keys&gt;&lt;key app="EN" db-id="d90vsetwrpftsqew0f8pa5d3eepftezf5xpp"&gt;11066&lt;/key&gt;&lt;/foreign-keys&gt;&lt;ref-type name="Journal Article"&gt;17&lt;/ref-type&gt;&lt;contributors&gt;&lt;authors&gt;&lt;author&gt;&lt;style face="normal" font="default" size="100%"&gt;Monaghan, P.&lt;/style&gt;&lt;/author&gt;&lt;author&gt;&lt;style face="normal" font="default" size="100%"&gt;Christiansen, M.&lt;/style&gt;&lt;/author&gt;&lt;/authors&gt;&lt;/contributors&gt;&lt;titles&gt;&lt;title&gt;&lt;style face="normal" font="default" size="100%"&gt;Words in puddles of sound: modelling psycholinguistic effects in speech segmentation&lt;/style&gt;&lt;/title&gt;&lt;secondary-title&gt;&lt;style face="normal" font="default" size="100%"&gt;Journal of Child Language&lt;/style&gt;&lt;/secondary-title&gt;&lt;/titles&gt;&lt;periodical&gt;&lt;full-title&gt;&lt;style face="normal" font="default" size="100%"&gt;Journal of Child Language&lt;/style&gt;&lt;/full-title&gt;&lt;/periodical&gt;&lt;pages&gt;&lt;style face="normal" font="default" size="100%"&gt;545-564&lt;/style&gt;&lt;/pages&gt;&lt;volume&gt;&lt;style face="normal" font="default" size="100%"&gt;37&lt;/style&gt;&lt;/volume&gt;&lt;dates&gt;&lt;year&gt;&lt;style face="normal" font="default" size="100%"&gt;2010&lt;/style&gt;&lt;/year&gt;&lt;/dates&gt;&lt;urls/&gt;&lt;/record&gt;&lt;/Cite&gt;&lt;Cite  &gt;&lt;Author&gt;Blanchard, D.&lt;/Author&gt;&lt;Year&gt;2010&lt;/Year&gt;&lt;RecNum&gt;11064&lt;/RecNum&gt;&lt;record&gt;&lt;database name="allrefs.enl" path="/Files/EndNote/allrefs.enl"&gt;allrefs.enl&lt;/database&gt;&lt;source-app name="EndNote" version="14.0"&gt;EndNote&lt;/source-app&gt;&lt;rec-number&gt;11064&lt;/rec-number&gt;&lt;foreign-keys&gt;&lt;key app="EN" db-id="d90vsetwrpftsqew0f8pa5d3eepftezf5xpp"&gt;11064&lt;/key&gt;&lt;/foreign-keys&gt;&lt;ref-type name="Journal Article"&gt;17&lt;/ref-type&gt;&lt;contributors&gt;&lt;authors&gt;&lt;author&gt;&lt;style face="normal" font="default" size="100%"&gt;Blanchard, D.&lt;/style&gt;&lt;/author&gt;&lt;author&gt;&lt;style face="normal" font="default" size="100%"&gt;Heinz, J.&lt;/style&gt;&lt;/author&gt;&lt;author&gt;&lt;style face="normal" font="default" size="100%"&gt;Golinkoff, R.&lt;/style&gt;&lt;/author&gt;&lt;/authors&gt;&lt;/contributors&gt;&lt;titles&gt;&lt;title&gt;&lt;style face="normal" font="default" size="100%"&gt;Modeling the contribution of phonotactic cues to the problem of word segmentation&lt;/style&gt;&lt;/title&gt;&lt;secondary-title&gt;&lt;style face="normal" font="default" size="100%"&gt;Journal of Child Language&lt;/style&gt;&lt;/secondary-title&gt;&lt;/titles&gt;&lt;periodical&gt;&lt;full-title&gt;&lt;style face="normal" font="default" size="100%"&gt;Journal of Child Language&lt;/style&gt;&lt;/full-title&gt;&lt;/periodical&gt;&lt;pages&gt;&lt;style face="normal" font="default" size="100%"&gt;487-511&lt;/style&gt;&lt;/pages&gt;&lt;volume&gt;&lt;style face="normal" font="default" size="100%"&gt;37&lt;/style&gt;&lt;/volume&gt;&lt;dates&gt;&lt;year&gt;&lt;style face="normal" font="default" size="100%"&gt;2010&lt;/style&gt;&lt;/year&gt;&lt;/dates&gt;&lt;urls/&gt;&lt;/record&gt;&lt;/Cite&gt;&lt;/EndNote&gt;</w:instrText>
      </w:r>
      <w:r>
        <w:rPr/>
        <w:fldChar w:fldCharType="separate" w:fldLock="0"/>
      </w:r>
      <w:r>
        <w:rPr>
          <w:rtl w:val="0"/>
        </w:rPr>
        <w:t>(Blanchard, Heinz, &amp; Golinkoff, 2010; Monaghan &amp; Christiansen, 2010)</w:t>
      </w:r>
      <w:r>
        <w:rPr/>
        <w:fldChar w:fldCharType="end" w:fldLock="0"/>
      </w:r>
      <w:r>
        <w:rPr>
          <w:rStyle w:val="Default Paragraph Font.0"/>
          <w:rtl w:val="0"/>
        </w:rPr>
        <w:t xml:space="preserve">, prosodic patterns </w:t>
      </w:r>
      <w:r>
        <w:rPr/>
        <w:fldChar w:fldCharType="begin" w:fldLock="0"/>
      </w:r>
      <w:r>
        <w:instrText xml:space="preserve"> ADDIN EN.CITE &lt;EndNote&gt;&lt;Cite  &gt;&lt;Author&gt;Gupta, P.&lt;/Author&gt;&lt;Year&gt;1994&lt;/Year&gt;&lt;RecNum&gt;5773&lt;/RecNum&gt;&lt;DisplayText&gt;(Gupta &amp; Touretzky, 1994)&lt;/DisplayText&gt;&lt;record&gt;&lt;database name="allrefs.enl" path="/Files/EndNote/allrefs.enl"&gt;allrefs.enl&lt;/database&gt;&lt;source-app name="EndNote" version="14.0"&gt;EndNote&lt;/source-app&gt;&lt;rec-number&gt;5773&lt;/rec-number&gt;&lt;foreign-keys&gt;&lt;key app="EN" db-id="d90vsetwrpftsqew0f8pa5d3eepftezf5xpp"&gt;5773&lt;/key&gt;&lt;/foreign-keys&gt;&lt;ref-type name="Journal Article"&gt;17&lt;/ref-type&gt;&lt;contributors&gt;&lt;authors&gt;&lt;author&gt;&lt;style face="normal" font="default" size="100%"&gt;Gupta, P.&lt;/style&gt;&lt;/author&gt;&lt;author&gt;&lt;style face="normal" font="default" size="100%"&gt;Touretzky, D.&lt;/style&gt;&lt;/author&gt;&lt;/authors&gt;&lt;/contributors&gt;&lt;titles&gt;&lt;title&gt;&lt;style face="normal" font="default" size="100%"&gt;Connectionist models and linguistic theory: Investigations of stress systems in language&lt;/style&gt;&lt;/title&gt;&lt;secondary-title&gt;&lt;style face="normal" font="default" size="100%"&gt;Cognitive Science&lt;/style&gt;&lt;/secondary-title&gt;&lt;/titles&gt;&lt;periodical&gt;&lt;full-title&gt;&lt;style face="normal" font="default" size="100%"&gt;Cognitive Science&lt;/style&gt;&lt;/full-title&gt;&lt;/periodical&gt;&lt;pages&gt;&lt;style face="normal" font="default" size="100%"&gt;1-50&lt;/style&gt;&lt;/pages&gt;&lt;volume&gt;&lt;style face="normal" font="default" size="100%"&gt;18&lt;/style&gt;&lt;/volume&gt;&lt;dates&gt;&lt;year&gt;&lt;style face="normal" font="default" size="100%"&gt;1994&lt;/style&gt;&lt;/year&gt;&lt;/dates&gt;&lt;urls/&gt;&lt;/record&gt;&lt;/Cite&gt;&lt;/EndNote&gt;</w:instrText>
      </w:r>
      <w:r>
        <w:rPr/>
        <w:fldChar w:fldCharType="separate" w:fldLock="0"/>
      </w:r>
      <w:r>
        <w:rPr>
          <w:rtl w:val="0"/>
        </w:rPr>
        <w:t>(Gupta &amp; Touretzky, 1994)</w:t>
      </w:r>
      <w:r>
        <w:rPr/>
        <w:fldChar w:fldCharType="end" w:fldLock="0"/>
      </w:r>
      <w:r>
        <w:rPr>
          <w:rStyle w:val="Default Paragraph Font.0"/>
          <w:rtl w:val="0"/>
        </w:rPr>
        <w:t xml:space="preserve">, lexical organization </w:t>
      </w:r>
      <w:r>
        <w:rPr/>
        <w:fldChar w:fldCharType="begin" w:fldLock="0"/>
      </w:r>
      <w:r>
        <w:instrText xml:space="preserve"> ADDIN EN.CITE &lt;EndNote&gt;&lt;Cite  &gt;&lt;Author&gt;Li, P.&lt;/Author&gt;&lt;Year&gt;2007&lt;/Year&gt;&lt;RecNum&gt;10203&lt;/RecNum&gt;&lt;DisplayText&gt;(Li, Zhao, &amp; MacWhinney, 2007)&lt;/DisplayText&gt;&lt;record&gt;&lt;database name="allrefs.enl" path="/Files/EndNote/allrefs.enl"&gt;allrefs.enl&lt;/database&gt;&lt;source-app name="EndNote" version="14.0"&gt;EndNote&lt;/source-app&gt;&lt;rec-number&gt;10203&lt;/rec-number&gt;&lt;foreign-keys&gt;&lt;key app="EN" db-id="d90vsetwrpftsqew0f8pa5d3eepftezf5xpp"&gt;10203&lt;/key&gt;&lt;/foreign-keys&gt;&lt;ref-type name="Journal Article"&gt;17&lt;/ref-type&gt;&lt;contributors&gt;&lt;authors&gt;&lt;author&gt;&lt;style face="normal" font="default" size="100%"&gt;Li, P.&lt;/style&gt;&lt;/author&gt;&lt;author&gt;&lt;style face="normal" font="default" size="100%"&gt;Zhao, X.&lt;/style&gt;&lt;/author&gt;&lt;author&gt;&lt;style face="normal" font="default" size="100%"&gt;MacWhinney, B.&lt;/style&gt;&lt;/author&gt;&lt;/authors&gt;&lt;/contributors&gt;&lt;titles&gt;&lt;title&gt;&lt;style face="normal" font="default" size="100%"&gt;Dynamic self-organization and early lexical development in children&lt;/style&gt;&lt;/title&gt;&lt;secondary-title&gt;&lt;style face="normal" font="default" size="100%"&gt;Cognitive Science&lt;/style&gt;&lt;/secondary-title&gt;&lt;/titles&gt;&lt;periodical&gt;&lt;full-title&gt;&lt;style face="normal" font="default" size="100%"&gt;Cognitive Science&lt;/style&gt;&lt;/full-title&gt;&lt;/periodical&gt;&lt;pages&gt;&lt;style face="normal" font="default" size="100%"&gt;581-612&lt;/style&gt;&lt;/pages&gt;&lt;volume&gt;&lt;style face="normal" font="default" size="100%"&gt;31&lt;/style&gt;&lt;/volume&gt;&lt;dates&gt;&lt;year&gt;&lt;style face="normal" font="default" size="100%"&gt;2007&lt;/style&gt;&lt;/year&gt;&lt;/dates&gt;&lt;urls/&gt;&lt;/record&gt;&lt;/Cite&gt;&lt;/EndNote&gt;</w:instrText>
      </w:r>
      <w:r>
        <w:rPr/>
        <w:fldChar w:fldCharType="separate" w:fldLock="0"/>
      </w:r>
      <w:r>
        <w:rPr>
          <w:rtl w:val="0"/>
        </w:rPr>
        <w:t>(Li, Zhao, &amp; MacWhinney, 2007)</w:t>
      </w:r>
      <w:r>
        <w:rPr/>
        <w:fldChar w:fldCharType="end" w:fldLock="0"/>
      </w:r>
      <w:r>
        <w:rPr>
          <w:rStyle w:val="Default Paragraph Font.0"/>
          <w:rtl w:val="0"/>
        </w:rPr>
        <w:t xml:space="preserve">, and aspects of syntactic development </w:t>
      </w:r>
      <w:r>
        <w:rPr/>
        <w:fldChar w:fldCharType="begin" w:fldLock="0"/>
      </w:r>
      <w:r>
        <w:instrText xml:space="preserve"> ADDIN EN.CITE &lt;EndNote&gt;&lt;Cite  &gt;&lt;Author&gt;Elman, J. L.&lt;/Author&gt;&lt;Year&gt;1993&lt;/Year&gt;&lt;RecNum&gt;7163&lt;/RecNum&gt;&lt;DisplayText&gt;(Elman, 1993)&lt;/DisplayText&gt;&lt;record&gt;&lt;database name="allrefs.enl" path="/Files/EndNote/allrefs.enl"&gt;allrefs.enl&lt;/database&gt;&lt;source-app name="EndNote" version="14.0"&gt;EndNote&lt;/source-app&gt;&lt;rec-number&gt;7163&lt;/rec-number&gt;&lt;foreign-keys&gt;&lt;key app="EN" db-id="d90vsetwrpftsqew0f8pa5d3eepftezf5xpp"&gt;7163&lt;/key&gt;&lt;/foreign-keys&gt;&lt;ref-type name="Journal Article"&gt;17&lt;/ref-type&gt;&lt;contributors&gt;&lt;authors&gt;&lt;author&gt;&lt;style face="normal" font="default" size="100%"&gt;Elman, J. L.&lt;/style&gt;&lt;/author&gt;&lt;/authors&gt;&lt;/contributors&gt;&lt;titles&gt;&lt;title&gt;&lt;style face="normal" font="default" size="100%"&gt;Learning and development in neural networks:  The importance of starting small&lt;/style&gt;&lt;/title&gt;&lt;secondary-title&gt;&lt;style face="normal" font="default" size="100%"&gt;Cognition&lt;/style&gt;&lt;/secondary-title&gt;&lt;/titles&gt;&lt;periodical&gt;&lt;full-title&gt;&lt;style face="normal" font="default" size="100%"&gt;Cognition&lt;/style&gt;&lt;/full-title&gt;&lt;/periodical&gt;&lt;pages&gt;&lt;style face="normal" font="default" size="100%"&gt;71-99&lt;/style&gt;&lt;/pages&gt;&lt;volume&gt;&lt;style face="normal" font="default" size="100%"&gt;48&lt;/style&gt;&lt;/volume&gt;&lt;dates&gt;&lt;year&gt;&lt;style face="normal" font="default" size="100%"&gt;1993&lt;/style&gt;&lt;/year&gt;&lt;/dates&gt;&lt;urls/&gt;&lt;/record&gt;&lt;/Cite&gt;&lt;/EndNote&gt;</w:instrText>
      </w:r>
      <w:r>
        <w:rPr/>
        <w:fldChar w:fldCharType="separate" w:fldLock="0"/>
      </w:r>
      <w:r>
        <w:rPr>
          <w:rtl w:val="0"/>
        </w:rPr>
        <w:t>(Elman, 1993)</w:t>
      </w:r>
      <w:r>
        <w:rPr/>
        <w:fldChar w:fldCharType="end" w:fldLock="0"/>
      </w:r>
      <w:r>
        <w:rPr>
          <w:rStyle w:val="Default Paragraph Font.0"/>
          <w:rtl w:val="0"/>
        </w:rPr>
        <w:t xml:space="preserve">. Other models have relied on discrimination nets </w:t>
      </w:r>
      <w:r>
        <w:rPr/>
        <w:fldChar w:fldCharType="begin" w:fldLock="0"/>
      </w:r>
      <w:r>
        <w:instrText xml:space="preserve"> ADDIN EN.CITE &lt;EndNote&gt;&lt;Cite  &gt;&lt;Author&gt;Ling, C.&lt;/Author&gt;&lt;Year&gt;1993&lt;/Year&gt;&lt;RecNum&gt;5741&lt;/RecNum&gt;&lt;DisplayText&gt;(Ling &amp; Marinov, 1993)&lt;/DisplayText&gt;&lt;record&gt;&lt;database name="allrefs.enl" path="/Files/EndNote/allrefs.enl"&gt;allrefs.enl&lt;/database&gt;&lt;source-app name="EndNote" version="14.0"&gt;EndNote&lt;/source-app&gt;&lt;rec-number&gt;5741&lt;/rec-number&gt;&lt;foreign-keys&gt;&lt;key app="EN" db-id="d90vsetwrpftsqew0f8pa5d3eepftezf5xpp"&gt;5741&lt;/key&gt;&lt;/foreign-keys&gt;&lt;ref-type name="Journal Article"&gt;17&lt;/ref-type&gt;&lt;contributors&gt;&lt;authors&gt;&lt;author&gt;&lt;style face="normal" font="default" size="100%"&gt;Ling, C.&lt;/style&gt;&lt;/author&gt;&lt;author&gt;&lt;style face="normal" font="default" size="100%"&gt;Marinov, M.&lt;/style&gt;&lt;/author&gt;&lt;/authors&gt;&lt;/contributors&gt;&lt;titles&gt;&lt;title&gt;&lt;style face="normal" font="default" size="100%"&gt;Answering the connectionist challenge&lt;/style&gt;&lt;/title&gt;&lt;secondary-title&gt;&lt;style face="normal" font="default" size="100%"&gt;Cognition&lt;/style&gt;&lt;/secondary-title&gt;&lt;/titles&gt;&lt;periodical&gt;&lt;full-title&gt;&lt;style face="normal" font="default" size="100%"&gt;Cognition&lt;/style&gt;&lt;/full-title&gt;&lt;/periodical&gt;&lt;pages&gt;&lt;style face="normal" font="default" size="100%"&gt;267-290&lt;/style&gt;&lt;/pages&gt;&lt;volume&gt;&lt;style face="normal" font="default" size="100%"&gt;49&lt;/style&gt;&lt;/volume&gt;&lt;dates&gt;&lt;year&gt;&lt;style face="normal" font="default" size="100%"&gt;1993&lt;/style&gt;&lt;/year&gt;&lt;/dates&gt;&lt;urls/&gt;&lt;/record&gt;&lt;/Cite&gt;&lt;/EndNote&gt;</w:instrText>
      </w:r>
      <w:r>
        <w:rPr/>
        <w:fldChar w:fldCharType="separate" w:fldLock="0"/>
      </w:r>
      <w:r>
        <w:rPr>
          <w:rtl w:val="0"/>
        </w:rPr>
        <w:t>(Ling &amp; Marinov, 1993)</w:t>
      </w:r>
      <w:r>
        <w:rPr/>
        <w:fldChar w:fldCharType="end" w:fldLock="0"/>
      </w:r>
      <w:r>
        <w:rPr>
          <w:rStyle w:val="Default Paragraph Font.0"/>
          <w:rtl w:val="0"/>
        </w:rPr>
        <w:t xml:space="preserve">, pattern associators </w:t>
      </w:r>
      <w:r>
        <w:rPr/>
        <w:fldChar w:fldCharType="begin" w:fldLock="0"/>
      </w:r>
      <w:r>
        <w:instrText xml:space="preserve"> ADDIN EN.CITE &lt;EndNote&gt;&lt;Cite  &gt;&lt;Author&gt;Gillis, S.&lt;/Author&gt;&lt;Year&gt;2000&lt;/Year&gt;&lt;RecNum&gt;11073&lt;/RecNum&gt;&lt;DisplayText&gt;(Gillis, Daelemans, &amp; Durieux, 2000)&lt;/DisplayText&gt;&lt;record&gt;&lt;database name="allrefs.enl" path="/Files/EndNote/allrefs.enl"&gt;allrefs.enl&lt;/database&gt;&lt;source-app name="EndNote" version="14.0"&gt;EndNote&lt;/source-app&gt;&lt;rec-number&gt;11073&lt;/rec-number&gt;&lt;foreign-keys&gt;&lt;key app="EN" db-id="d90vsetwrpftsqew0f8pa5d3eepftezf5xpp"&gt;11073&lt;/key&gt;&lt;/foreign-keys&gt;&lt;ref-type name="Book Section"&gt;5&lt;/ref-type&gt;&lt;contributors&gt;&lt;authors&gt;&lt;author&gt;&lt;style face="normal" font="default" size="100%"&gt;Gillis, S.&lt;/style&gt;&lt;/author&gt;&lt;author&gt;&lt;style face="normal" font="default" size="100%"&gt;Daelemans, W.&lt;/style&gt;&lt;/author&gt;&lt;author&gt;&lt;style face="normal" font="default" size="100%"&gt;Durieux, G.&lt;/style&gt;&lt;/author&gt;&lt;/authors&gt;&lt;secondary-authors&gt;&lt;author&gt;&lt;style face="normal" font="default" size="100%"&gt;Broeder, D.&lt;/style&gt;&lt;/author&gt;&lt;author&gt;&lt;style face="normal" font="default" size="100%"&gt;Murre, J.&lt;/style&gt;&lt;/author&gt;&lt;/secondary-authors&gt;&lt;/contributors&gt;&lt;titles&gt;&lt;title&gt;&lt;style face="normal" font="default" size="100%"&gt;"Lazy learning": Natural and machine learning of word stress&lt;/style&gt;&lt;/title&gt;&lt;secondary-title&gt;&lt;style face="normal" font="default" size="100%"&gt;Models of Language Acquisition&lt;/style&gt;&lt;/secondary-title&gt;&lt;/titles&gt;&lt;pages&gt;&lt;style face="normal" font="default" size="100%"&gt;76-102&lt;/style&gt;&lt;/pages&gt;&lt;dates&gt;&lt;year&gt;&lt;style face="normal" font="default" size="100%"&gt;2000&lt;/style&gt;&lt;/year&gt;&lt;/dates&gt;&lt;pub-location&gt;&lt;style face="normal" font="default" size="100%"&gt;Oxford&lt;/style&gt;&lt;/pub-location&gt;&lt;publisher&gt;&lt;style face="normal" font="default" size="100%"&gt;Oxford University Press&lt;/style&gt;&lt;/publisher&gt;&lt;urls/&gt;&lt;/record&gt;&lt;/Cite&gt;&lt;/EndNote&gt;</w:instrText>
      </w:r>
      <w:r>
        <w:rPr/>
        <w:fldChar w:fldCharType="separate" w:fldLock="0"/>
      </w:r>
      <w:r>
        <w:rPr>
          <w:rtl w:val="0"/>
        </w:rPr>
        <w:t>(Gillis, Daelemans, &amp; Durieux, 2000)</w:t>
      </w:r>
      <w:r>
        <w:rPr/>
        <w:fldChar w:fldCharType="end" w:fldLock="0"/>
      </w:r>
      <w:r>
        <w:rPr>
          <w:rStyle w:val="Default Paragraph Font.0"/>
          <w:rtl w:val="0"/>
        </w:rPr>
        <w:t xml:space="preserve">,  hierarchical Bayesian models </w:t>
      </w:r>
      <w:r>
        <w:rPr/>
        <w:fldChar w:fldCharType="begin" w:fldLock="0"/>
      </w:r>
      <w:r>
        <w:instrText xml:space="preserve"> ADDIN EN.CITE &lt;EndNote&gt;&lt;Cite  &gt;&lt;Author&gt;Perfors, A.&lt;/Author&gt;&lt;Year&gt;2010&lt;/Year&gt;&lt;RecNum&gt;11068&lt;/RecNum&gt;&lt;DisplayText&gt;(Perfors, Tenenbaum, &amp; Wonnacott, 2010)&lt;/DisplayText&gt;&lt;record&gt;&lt;database name="allrefs.enl" path="/Files/EndNote/allrefs.enl"&gt;allrefs.enl&lt;/database&gt;&lt;source-app name="EndNote" version="14.0"&gt;EndNote&lt;/source-app&gt;&lt;rec-number&gt;11068&lt;/rec-number&gt;&lt;foreign-keys&gt;&lt;key app="EN" db-id="d90vsetwrpftsqew0f8pa5d3eepftezf5xpp"&gt;11068&lt;/key&gt;&lt;/foreign-keys&gt;&lt;ref-type name="Journal Article"&gt;17&lt;/ref-type&gt;&lt;contributors&gt;&lt;authors&gt;&lt;author&gt;&lt;style face="normal" font="default" size="100%"&gt;Perfors, A.&lt;/style&gt;&lt;/author&gt;&lt;author&gt;&lt;style face="normal" font="default" size="100%"&gt;Tenenbaum, J. B.&lt;/style&gt;&lt;/author&gt;&lt;author&gt;&lt;style face="normal" font="default" size="100%"&gt;Wonnacott, E.&lt;/style&gt;&lt;/author&gt;&lt;/authors&gt;&lt;/contributors&gt;&lt;titles&gt;&lt;title&gt;&lt;style face="normal" font="default" size="100%"&gt;Variability, negative evidence, and the acquisition of verb argument constructions&lt;/style&gt;&lt;/title&gt;&lt;secondary-title&gt;&lt;style face="normal" font="default" size="100%"&gt;Journal of Child Language&lt;/style&gt;&lt;/secondary-title&gt;&lt;/titles&gt;&lt;periodical&gt;&lt;full-title&gt;&lt;style face="normal" font="default" size="100%"&gt;Journal of Child Language&lt;/style&gt;&lt;/full-title&gt;&lt;/periodical&gt;&lt;pages&gt;&lt;style face="normal" font="default" size="100%"&gt;607-642&lt;/style&gt;&lt;/pages&gt;&lt;volume&gt;&lt;style face="normal" font="default" size="100%"&gt;37&lt;/style&gt;&lt;/volume&gt;&lt;dates&gt;&lt;year&gt;&lt;style face="normal" font="default" size="100%"&gt;2010&lt;/style&gt;&lt;/year&gt;&lt;/dates&gt;&lt;urls/&gt;&lt;/record&gt;&lt;/Cite&gt;&lt;/EndNote&gt;</w:instrText>
      </w:r>
      <w:r>
        <w:rPr/>
        <w:fldChar w:fldCharType="separate" w:fldLock="0"/>
      </w:r>
      <w:r>
        <w:rPr>
          <w:rtl w:val="0"/>
        </w:rPr>
        <w:t>(Perfors, Tenenbaum, &amp; Wonnacott, 2010)</w:t>
      </w:r>
      <w:r>
        <w:rPr/>
        <w:fldChar w:fldCharType="end" w:fldLock="0"/>
      </w:r>
      <w:r>
        <w:rPr>
          <w:rStyle w:val="Default Paragraph Font.0"/>
          <w:rtl w:val="0"/>
        </w:rPr>
        <w:t xml:space="preserve">, and basic string comparison methods </w:t>
      </w:r>
      <w:r>
        <w:rPr/>
        <w:fldChar w:fldCharType="begin" w:fldLock="0"/>
      </w:r>
      <w:r>
        <w:instrText xml:space="preserve"> ADDIN EN.CITE &lt;EndNote&gt;&lt;Cite  &gt;&lt;Author&gt;Freudenthal, D.&lt;/Author&gt;&lt;Year&gt;2010&lt;/Year&gt;&lt;RecNum&gt;11069&lt;/RecNum&gt;&lt;DisplayText&gt;(Freudenthal, Pine, &amp; Gobet, 2010)&lt;/DisplayText&gt;&lt;record&gt;&lt;database name="allrefs.enl" path="/Files/EndNote/allrefs.enl"&gt;allrefs.enl&lt;/database&gt;&lt;source-app name="EndNote" version="14.0"&gt;EndNote&lt;/source-app&gt;&lt;rec-number&gt;11069&lt;/rec-number&gt;&lt;foreign-keys&gt;&lt;key app="EN" db-id="d90vsetwrpftsqew0f8pa5d3eepftezf5xpp"&gt;11069&lt;/key&gt;&lt;/foreign-keys&gt;&lt;ref-type name="Journal Article"&gt;17&lt;/ref-type&gt;&lt;contributors&gt;&lt;authors&gt;&lt;author&gt;&lt;style face="normal" font="default" size="100%"&gt;Freudenthal, D.&lt;/style&gt;&lt;/author&gt;&lt;author&gt;&lt;style face="normal" font="default" size="100%"&gt;Pine, J.&lt;/style&gt;&lt;/author&gt;&lt;author&gt;&lt;style face="normal" font="default" size="100%"&gt;Gobet, F.&lt;/style&gt;&lt;/author&gt;&lt;/authors&gt;&lt;/contributors&gt;&lt;titles&gt;&lt;title&gt;&lt;style face="normal" font="default" size="100%"&gt;Explaining quantitative variation in the rate of Optional Infinitive errors across languages: A comparison of MOSAIC and the Variational Learning Model&lt;/style&gt;&lt;/title&gt;&lt;secondary-title&gt;&lt;style face="normal" font="default" size="100%"&gt;Journal of Child Language&lt;/style&gt;&lt;/secondary-title&gt;&lt;/titles&gt;&lt;periodical&gt;&lt;full-title&gt;&lt;style face="normal" font="default" size="100%"&gt;Journal of Child Language&lt;/style&gt;&lt;/full-title&gt;&lt;/periodical&gt;&lt;pages&gt;&lt;style face="normal" font="default" size="100%"&gt;643-669&lt;/style&gt;&lt;/pages&gt;&lt;volume&gt;&lt;style face="normal" font="default" size="100%"&gt;37&lt;/style&gt;&lt;/volume&gt;&lt;dates&gt;&lt;year&gt;&lt;style face="normal" font="default" size="100%"&gt;2010&lt;/style&gt;&lt;/year&gt;&lt;/dates&gt;&lt;urls/&gt;&lt;/record&gt;&lt;/Cite&gt;&lt;/EndNote&gt;</w:instrText>
      </w:r>
      <w:r>
        <w:rPr/>
        <w:fldChar w:fldCharType="separate" w:fldLock="0"/>
      </w:r>
      <w:r>
        <w:rPr>
          <w:rtl w:val="0"/>
        </w:rPr>
        <w:t>(Freudenthal, Pine, &amp; Gobet, 2010)</w:t>
      </w:r>
      <w:r>
        <w:rPr/>
        <w:fldChar w:fldCharType="end" w:fldLock="0"/>
      </w:r>
      <w:r>
        <w:rPr>
          <w:rStyle w:val="Default Paragraph Font.0"/>
          <w:rtl w:val="0"/>
        </w:rPr>
        <w:t>. What is common across all of these applications and models is the reliance on data from corpora that include both learners</w:t>
      </w:r>
      <w:r>
        <w:rPr>
          <w:rStyle w:val="Default Paragraph Font.0"/>
          <w:rtl w:val="0"/>
        </w:rPr>
        <w:t xml:space="preserve">’ </w:t>
      </w:r>
      <w:r>
        <w:rPr>
          <w:rStyle w:val="Default Paragraph Font.0"/>
          <w:rtl w:val="0"/>
        </w:rPr>
        <w:t xml:space="preserve">speech and the speech addressed to them.   </w:t>
      </w:r>
    </w:p>
    <w:p>
      <w:pPr>
        <w:pStyle w:val="Heading 1"/>
        <w:numPr>
          <w:ilvl w:val="0"/>
          <w:numId w:val="1"/>
        </w:numPr>
        <w:bidi w:val="0"/>
      </w:pPr>
      <w:r>
        <w:rPr>
          <w:rtl w:val="0"/>
          <w:lang w:val="en-US"/>
        </w:rPr>
        <w:t xml:space="preserve">Building a General Database </w:t>
      </w:r>
    </w:p>
    <w:p>
      <w:pPr>
        <w:pStyle w:val="Normal.0"/>
        <w:bidi w:val="0"/>
        <w:rPr>
          <w:rStyle w:val="Default Paragraph Font.0"/>
        </w:rPr>
      </w:pPr>
      <w:r>
        <w:rPr>
          <w:rStyle w:val="Default Paragraph Font.0"/>
          <w:rtl w:val="0"/>
        </w:rPr>
        <w:t xml:space="preserve">Recently, researchers associated with the LDC </w:t>
      </w:r>
      <w:r>
        <w:rPr>
          <w:rtl w:val="0"/>
        </w:rPr>
        <w:t>(Linguistic Data Consortium)</w:t>
      </w:r>
      <w:r>
        <w:rPr>
          <w:rStyle w:val="Default Paragraph Font.0"/>
          <w:rtl w:val="0"/>
        </w:rPr>
        <w:t>, Informedia, and the TalkBank Project have developed a proposal for the construction of a general database for the study of human language.    This section explains the overall shape of this proposal. Although funding for this project has not yet become available, aspects of this work are progressing as separate projects.  The details of the proposed work will undoubtedly change over the course of time, as we learn which ideas are  more successful than others.  However, in its current form, this proposal can provide us with a vision of what it means to expand the horizons of corpus linguistics.</w:t>
      </w:r>
    </w:p>
    <w:p>
      <w:pPr>
        <w:pStyle w:val="Normal.0"/>
        <w:bidi w:val="0"/>
        <w:rPr>
          <w:rStyle w:val="Default Paragraph Font.0"/>
        </w:rPr>
      </w:pPr>
      <w:r>
        <w:rPr>
          <w:rStyle w:val="Default Paragraph Font.0"/>
          <w:rtl w:val="0"/>
        </w:rPr>
        <w:t>At the core of this proposal is the observation that, each day, we generate billions of rich communication data streams in the form of conversations, meetings, broadcasts, newspapers, scientific articles, and links to scientific data. These streams of communication can be captured digitally and enriched automatically through systems for linguistic and video annotation. Databases such as TalkBank, CHILDES, Informedia, Let</w:t>
      </w:r>
      <w:r>
        <w:rPr>
          <w:rStyle w:val="Default Paragraph Font.0"/>
          <w:rtl w:val="0"/>
        </w:rPr>
        <w:t>’</w:t>
      </w:r>
      <w:r>
        <w:rPr>
          <w:rStyle w:val="Default Paragraph Font.0"/>
          <w:rtl w:val="0"/>
        </w:rPr>
        <w:t>s Go, and LDC have demonstrated how this can be done, amassing the world</w:t>
      </w:r>
      <w:r>
        <w:rPr>
          <w:rStyle w:val="Default Paragraph Font.0"/>
          <w:rtl w:val="0"/>
        </w:rPr>
        <w:t>’</w:t>
      </w:r>
      <w:r>
        <w:rPr>
          <w:rStyle w:val="Default Paragraph Font.0"/>
          <w:rtl w:val="0"/>
        </w:rPr>
        <w:t xml:space="preserve">s largest collections of data on spoken and written communication. However, to properly integrate these materials into a technologically sophisticated network, we must achieve full interoperability, universal access, deep curation, powerful visualization, and wider coverage. </w:t>
      </w:r>
    </w:p>
    <w:p>
      <w:pPr>
        <w:pStyle w:val="Normal.0"/>
        <w:bidi w:val="0"/>
        <w:rPr>
          <w:rStyle w:val="Default Paragraph Font.0"/>
        </w:rPr>
      </w:pPr>
      <w:r>
        <w:rPr>
          <w:rStyle w:val="Default Paragraph Font.0"/>
          <w:rtl w:val="0"/>
        </w:rPr>
        <w:t>By linking these resources together, we can build an international database for digital data on human communication, including speech (conversations, interviews, radio broadcasts, etc.), text (historical and modern books, journals, newspapers, web pages, blogs, etc.), scientific communication (articles, letters, debates, commentary, reviews, linked to primary scientific data), video, and images. This database, called ComNet, will provide material for students, teachers, businesses, professionals, language communities, government, and the public.</w:t>
      </w:r>
    </w:p>
    <w:p>
      <w:pPr>
        <w:pStyle w:val="Heading 2"/>
        <w:numPr>
          <w:ilvl w:val="1"/>
          <w:numId w:val="1"/>
        </w:numPr>
        <w:bidi w:val="0"/>
        <w:rPr>
          <w:rStyle w:val="Default Paragraph Font.0"/>
          <w:sz w:val="20"/>
          <w:szCs w:val="20"/>
        </w:rPr>
      </w:pPr>
      <w:r>
        <w:rPr>
          <w:rStyle w:val="Default Paragraph Font.0"/>
          <w:rtl w:val="0"/>
        </w:rPr>
        <w:t xml:space="preserve">    Basic Principles</w:t>
      </w:r>
    </w:p>
    <w:p>
      <w:pPr>
        <w:pStyle w:val="Normal.0"/>
        <w:bidi w:val="0"/>
        <w:rPr>
          <w:rStyle w:val="Default Paragraph Font.0"/>
        </w:rPr>
      </w:pPr>
      <w:r>
        <w:rPr>
          <w:rStyle w:val="Default Paragraph Font.0"/>
          <w:rtl w:val="0"/>
        </w:rPr>
        <w:t>ComNet will construct a fully interoperable set of tools for data acquisition, curation, analysis, and visualization based on the TalkBank (</w:t>
      </w:r>
      <w:r>
        <w:rPr>
          <w:rStyle w:val="Hyperlink.0"/>
        </w:rPr>
        <w:fldChar w:fldCharType="begin" w:fldLock="0"/>
      </w:r>
      <w:r>
        <w:rPr>
          <w:rStyle w:val="Hyperlink.0"/>
        </w:rPr>
        <w:instrText xml:space="preserve"> HYPERLINK "http://talkbank.org/talkbank.xsd"</w:instrText>
      </w:r>
      <w:r>
        <w:rPr>
          <w:rStyle w:val="Hyperlink.0"/>
        </w:rPr>
        <w:fldChar w:fldCharType="separate" w:fldLock="0"/>
      </w:r>
      <w:r>
        <w:rPr>
          <w:rStyle w:val="Hyperlink.0"/>
          <w:rtl w:val="0"/>
        </w:rPr>
        <w:t>talkbank.org/talkbank.xsd</w:t>
      </w:r>
      <w:r>
        <w:rPr/>
        <w:fldChar w:fldCharType="end" w:fldLock="0"/>
      </w:r>
      <w:r>
        <w:rPr>
          <w:rStyle w:val="Default Paragraph Font.0"/>
          <w:rtl w:val="0"/>
        </w:rPr>
        <w:t>) XML schema, which will be renamed as the ComNet XML Schema. Using these tools, we will link together an international distributed database on human communication, structured in accord with these basic principles:</w:t>
      </w:r>
    </w:p>
    <w:p>
      <w:pPr>
        <w:pStyle w:val="Normal.0"/>
        <w:numPr>
          <w:ilvl w:val="0"/>
          <w:numId w:val="8"/>
        </w:numPr>
        <w:rPr>
          <w:rStyle w:val="Default Paragraph Font.0"/>
          <w:sz w:val="20"/>
          <w:szCs w:val="20"/>
          <w:lang w:val="en-US"/>
        </w:rPr>
      </w:pPr>
      <w:r>
        <w:rPr>
          <w:rStyle w:val="Default Paragraph Font.0"/>
          <w:b w:val="1"/>
          <w:bCs w:val="1"/>
          <w:rtl w:val="0"/>
          <w:lang w:val="en-US"/>
        </w:rPr>
        <w:t>Open access</w:t>
      </w:r>
      <w:r>
        <w:rPr>
          <w:rStyle w:val="Default Paragraph Font.0"/>
          <w:rtl w:val="0"/>
          <w:lang w:val="en-US"/>
        </w:rPr>
        <w:t xml:space="preserve">. The core components of ComNet will be freely open to all </w:t>
      </w:r>
      <w:r>
        <w:rPr>
          <w:rStyle w:val="Default Paragraph Font.0"/>
          <w:rtl w:val="0"/>
          <w:lang w:val="en-US"/>
        </w:rPr>
        <w:t xml:space="preserve">– </w:t>
      </w:r>
      <w:r>
        <w:rPr>
          <w:rStyle w:val="Default Paragraph Font.0"/>
          <w:rtl w:val="0"/>
          <w:lang w:val="en-US"/>
        </w:rPr>
        <w:t xml:space="preserve">students, researchers, government, private industry, and the public. For non-core components, access may be limited by LDC licensing, TEACH Act requirements, or IRB restrictions. </w:t>
      </w:r>
    </w:p>
    <w:p>
      <w:pPr>
        <w:pStyle w:val="Normal.0"/>
        <w:numPr>
          <w:ilvl w:val="0"/>
          <w:numId w:val="8"/>
        </w:numPr>
        <w:rPr>
          <w:rStyle w:val="Default Paragraph Font.0"/>
          <w:sz w:val="20"/>
          <w:szCs w:val="20"/>
          <w:lang w:val="en-US"/>
        </w:rPr>
      </w:pPr>
      <w:r>
        <w:rPr>
          <w:rStyle w:val="Default Paragraph Font.0"/>
          <w:b w:val="1"/>
          <w:bCs w:val="1"/>
          <w:rtl w:val="0"/>
          <w:lang w:val="en-US"/>
        </w:rPr>
        <w:t>Integrated structure</w:t>
      </w:r>
      <w:r>
        <w:rPr>
          <w:rStyle w:val="Default Paragraph Font.0"/>
          <w:rtl w:val="0"/>
          <w:lang w:val="en-US"/>
        </w:rPr>
        <w:t xml:space="preserve">. Every item of ComNet data </w:t>
      </w:r>
      <w:r>
        <w:rPr>
          <w:rStyle w:val="Default Paragraph Font.0"/>
          <w:rtl w:val="0"/>
          <w:lang w:val="en-US"/>
        </w:rPr>
        <w:t xml:space="preserve">– </w:t>
      </w:r>
      <w:r>
        <w:rPr>
          <w:rStyle w:val="Default Paragraph Font.0"/>
          <w:rtl w:val="0"/>
          <w:lang w:val="en-US"/>
        </w:rPr>
        <w:t xml:space="preserve">both core and non-core </w:t>
      </w:r>
      <w:r>
        <w:rPr>
          <w:rStyle w:val="Default Paragraph Font.0"/>
          <w:rtl w:val="0"/>
          <w:lang w:val="en-US"/>
        </w:rPr>
        <w:t xml:space="preserve">– </w:t>
      </w:r>
      <w:r>
        <w:rPr>
          <w:rStyle w:val="Default Paragraph Font.0"/>
          <w:rtl w:val="0"/>
          <w:lang w:val="en-US"/>
        </w:rPr>
        <w:t xml:space="preserve">will have a unique and specifiable position within a single, comprehensive XML-based data grid. To achieve this tight integration, we will mesh existing formats into the single XML Scheme, thereby overcoming the Format Babel identified by Bird &amp; Liberman </w:t>
      </w:r>
      <w:r>
        <w:rPr/>
        <w:fldChar w:fldCharType="begin" w:fldLock="0"/>
      </w:r>
      <w:r>
        <w:instrText xml:space="preserve"> ADDIN EN.CITE &lt;EndNote&gt;&lt;Cite ExcludeAuth="1" &gt;&lt;Author&gt;Bird, S.&lt;/Author&gt;&lt;Year&gt;2001&lt;/Year&gt;&lt;RecNum&gt;9745&lt;/RecNum&gt;&lt;DisplayText&gt;(2001)&lt;/DisplayText&gt;&lt;record&gt;&lt;database name="allrefs.enl" path="/Files/EndNote/allrefs.enl"&gt;allrefs.enl&lt;/database&gt;&lt;source-app name="EndNote" version="14.0"&gt;EndNote&lt;/source-app&gt;&lt;rec-number&gt;9745&lt;/rec-number&gt;&lt;foreign-keys&gt;&lt;key app="EN" db-id="d90vsetwrpftsqew0f8pa5d3eepftezf5xpp"&gt;9745&lt;/key&gt;&lt;/foreign-keys&gt;&lt;ref-type name="Journal Article"&gt;17&lt;/ref-type&gt;&lt;contributors&gt;&lt;authors&gt;&lt;author&gt;&lt;style face="normal" font="default" size="100%"&gt;Bird, S.&lt;/style&gt;&lt;/author&gt;&lt;author&gt;&lt;style face="normal" font="default" size="100%"&gt;Liberman, M.&lt;/style&gt;&lt;/author&gt;&lt;/authors&gt;&lt;/contributors&gt;&lt;titles&gt;&lt;title&gt;&lt;style face="normal" font="default" size="100%"&gt;A formal framework for linguistic annotation&lt;/style&gt;&lt;/title&gt;&lt;secondary-title&gt;&lt;style face="normal" font="default" size="100%"&gt;Speech Communication&lt;/style&gt;&lt;/secondary-title&gt;&lt;/titles&gt;&lt;pages&gt;&lt;style face="normal" font="default" size="100%"&gt;23-60&lt;/style&gt;&lt;/pages&gt;&lt;volume&gt;&lt;style face="normal" font="default" size="100%"&gt;33&lt;/style&gt;&lt;/volume&gt;&lt;dates&gt;&lt;year&gt;&lt;style face="normal" font="default" size="100%"&gt;2001&lt;/style&gt;&lt;/year&gt;&lt;/dates&gt;&lt;urls/&gt;&lt;/record&gt;&lt;/Cite&gt;&lt;/EndNote&gt;</w:instrText>
      </w:r>
      <w:r>
        <w:rPr/>
        <w:fldChar w:fldCharType="separate" w:fldLock="0"/>
      </w:r>
      <w:r>
        <w:rPr>
          <w:rtl w:val="0"/>
          <w:lang w:val="en-US"/>
        </w:rPr>
        <w:t>(2001)</w:t>
      </w:r>
      <w:r>
        <w:rPr/>
        <w:fldChar w:fldCharType="end" w:fldLock="0"/>
      </w:r>
      <w:r>
        <w:rPr>
          <w:rStyle w:val="Default Paragraph Font.0"/>
          <w:rtl w:val="0"/>
          <w:lang w:val="en-US"/>
        </w:rPr>
        <w:t>.</w:t>
      </w:r>
    </w:p>
    <w:p>
      <w:pPr>
        <w:pStyle w:val="Normal.0"/>
        <w:numPr>
          <w:ilvl w:val="0"/>
          <w:numId w:val="8"/>
        </w:numPr>
        <w:rPr>
          <w:rStyle w:val="Default Paragraph Font.0"/>
          <w:sz w:val="20"/>
          <w:szCs w:val="20"/>
          <w:lang w:val="en-US"/>
        </w:rPr>
      </w:pPr>
      <w:r>
        <w:rPr>
          <w:rStyle w:val="Default Paragraph Font.0"/>
          <w:b w:val="1"/>
          <w:bCs w:val="1"/>
          <w:rtl w:val="0"/>
          <w:lang w:val="en-US"/>
        </w:rPr>
        <w:t>Interoperability</w:t>
      </w:r>
      <w:r>
        <w:rPr>
          <w:rStyle w:val="Default Paragraph Font.0"/>
          <w:rtl w:val="0"/>
          <w:lang w:val="en-US"/>
        </w:rPr>
        <w:t>. To promote interoperability, we will construct roundtrip conversions of ComNet data to other popular analytic programs for display and analysis.</w:t>
      </w:r>
    </w:p>
    <w:p>
      <w:pPr>
        <w:pStyle w:val="Normal.0"/>
        <w:numPr>
          <w:ilvl w:val="0"/>
          <w:numId w:val="8"/>
        </w:numPr>
        <w:rPr>
          <w:rStyle w:val="Default Paragraph Font.0"/>
          <w:sz w:val="20"/>
          <w:szCs w:val="20"/>
          <w:lang w:val="en-US"/>
        </w:rPr>
      </w:pPr>
      <w:r>
        <w:rPr>
          <w:rStyle w:val="Default Paragraph Font.0"/>
          <w:b w:val="1"/>
          <w:bCs w:val="1"/>
          <w:rtl w:val="0"/>
          <w:lang w:val="en-US"/>
        </w:rPr>
        <w:t>Powerful analysis</w:t>
      </w:r>
      <w:r>
        <w:rPr>
          <w:rStyle w:val="Default Paragraph Font.0"/>
          <w:rtl w:val="0"/>
          <w:lang w:val="en-US"/>
        </w:rPr>
        <w:t>. Relying on ComNet XML, the project will build powerful tools for browsing, searching, visualization, statistical analysis, and report generation.</w:t>
      </w:r>
    </w:p>
    <w:p>
      <w:pPr>
        <w:pStyle w:val="Normal.0"/>
        <w:numPr>
          <w:ilvl w:val="0"/>
          <w:numId w:val="8"/>
        </w:numPr>
        <w:rPr>
          <w:rStyle w:val="Default Paragraph Font.0"/>
          <w:sz w:val="20"/>
          <w:szCs w:val="20"/>
          <w:lang w:val="en-US"/>
        </w:rPr>
      </w:pPr>
      <w:r>
        <w:rPr>
          <w:rStyle w:val="Default Paragraph Font.0"/>
          <w:b w:val="1"/>
          <w:bCs w:val="1"/>
          <w:rtl w:val="0"/>
          <w:lang w:val="en-US"/>
        </w:rPr>
        <w:t>Multilinguality</w:t>
      </w:r>
      <w:r>
        <w:rPr>
          <w:rStyle w:val="Default Paragraph Font.0"/>
          <w:rtl w:val="0"/>
          <w:lang w:val="en-US"/>
        </w:rPr>
        <w:t>. ComNet will integrate data from hundreds of languages, ranging from English and Spanish to minority and endangered languages such as Mapudung</w:t>
      </w:r>
      <w:r>
        <w:rPr>
          <w:rStyle w:val="Default Paragraph Font.0"/>
          <w:rtl w:val="0"/>
          <w:lang w:val="en-US"/>
        </w:rPr>
        <w:t>ú</w:t>
      </w:r>
      <w:r>
        <w:rPr>
          <w:rStyle w:val="Default Paragraph Font.0"/>
          <w:rtl w:val="0"/>
          <w:lang w:val="en-US"/>
        </w:rPr>
        <w:t>n, Ojibwe, and I</w:t>
      </w:r>
      <w:r>
        <w:rPr>
          <w:rStyle w:val="Default Paragraph Font.0"/>
          <w:rtl w:val="0"/>
          <w:lang w:val="en-US"/>
        </w:rPr>
        <w:t>ñ</w:t>
      </w:r>
      <w:r>
        <w:rPr>
          <w:rStyle w:val="Default Paragraph Font.0"/>
          <w:rtl w:val="0"/>
          <w:lang w:val="en-US"/>
        </w:rPr>
        <w:t xml:space="preserve">upiaq. </w:t>
      </w:r>
    </w:p>
    <w:p>
      <w:pPr>
        <w:pStyle w:val="Heading 2"/>
        <w:numPr>
          <w:ilvl w:val="1"/>
          <w:numId w:val="1"/>
        </w:numPr>
        <w:bidi w:val="0"/>
        <w:rPr>
          <w:rStyle w:val="Default Paragraph Font.0"/>
          <w:sz w:val="20"/>
          <w:szCs w:val="20"/>
        </w:rPr>
      </w:pPr>
      <w:r>
        <w:rPr>
          <w:rStyle w:val="Default Paragraph Font.0"/>
          <w:rtl w:val="0"/>
          <w:lang w:val="en-US"/>
        </w:rPr>
        <w:t>Links Across the Sciences</w:t>
      </w:r>
    </w:p>
    <w:p>
      <w:pPr>
        <w:pStyle w:val="Normal.0"/>
        <w:bidi w:val="0"/>
        <w:rPr>
          <w:rStyle w:val="Default Paragraph Font.0"/>
        </w:rPr>
      </w:pPr>
      <w:r>
        <w:rPr>
          <w:rStyle w:val="Default Paragraph Font.0"/>
          <w:rtl w:val="0"/>
        </w:rPr>
        <w:t>ComNet will be based on the principles of open access and integrated structure. Open access to ComNet data will enable fundamental linkages between research in psychology, education, linguistics, biology, neuroscience, ethology, anthropology, sociology, political science, economics, demographics, computer science, natural language processing, human language technologies, library science, law, area studies and comparative literature. The system will be capable of linking individual-level transcript data to related neurological, economic, medical, survey, social, and preference data, subject to privacy and IRB constraints. The construction of these additional linkages will be directed and controlled by the participants themselves.</w:t>
      </w:r>
    </w:p>
    <w:p>
      <w:pPr>
        <w:pStyle w:val="Heading 2"/>
        <w:numPr>
          <w:ilvl w:val="1"/>
          <w:numId w:val="1"/>
        </w:numPr>
        <w:bidi w:val="0"/>
        <w:rPr>
          <w:rStyle w:val="Default Paragraph Font.0"/>
          <w:sz w:val="20"/>
          <w:szCs w:val="20"/>
        </w:rPr>
      </w:pPr>
      <w:r>
        <w:rPr>
          <w:rStyle w:val="Default Paragraph Font.0"/>
          <w:rtl w:val="0"/>
          <w:lang w:val="en-US"/>
        </w:rPr>
        <w:t>Example Projects</w:t>
      </w:r>
    </w:p>
    <w:p>
      <w:pPr>
        <w:pStyle w:val="Normal.0"/>
        <w:bidi w:val="0"/>
        <w:rPr>
          <w:rStyle w:val="Default Paragraph Font.0"/>
        </w:rPr>
      </w:pPr>
      <w:r>
        <w:rPr>
          <w:rStyle w:val="Default Paragraph Font.0"/>
          <w:rtl w:val="0"/>
        </w:rPr>
        <w:t>When ComNet resources are in place, it will be possible for users to address hundreds of types of research questions. Here are some illustrations of the types of questions that researchers have been asking, sampled from this much larger space:</w:t>
      </w:r>
    </w:p>
    <w:p>
      <w:pPr>
        <w:pStyle w:val="Normal.0"/>
        <w:numPr>
          <w:ilvl w:val="0"/>
          <w:numId w:val="10"/>
        </w:numPr>
        <w:rPr>
          <w:rStyle w:val="Default Paragraph Font.0"/>
          <w:sz w:val="20"/>
          <w:szCs w:val="20"/>
          <w:lang w:val="en-US"/>
        </w:rPr>
      </w:pPr>
      <w:r>
        <w:rPr>
          <w:rStyle w:val="Default Paragraph Font.0"/>
          <w:rtl w:val="0"/>
          <w:lang w:val="en-US"/>
        </w:rPr>
        <w:t xml:space="preserve">Analyze the contents of newspapers in six different languages for their reaction to the terrorist attacks of September 11, 2001, using LIWC </w:t>
      </w:r>
      <w:r>
        <w:rPr/>
        <w:fldChar w:fldCharType="begin" w:fldLock="0"/>
      </w:r>
      <w:r>
        <w:instrText xml:space="preserve"> ADDIN EN.CITE &lt;EndNote&gt;&lt;Cite  &gt;&lt;Author&gt;Pennebaker, J. W.&lt;/Author&gt;&lt;Year&gt;2001&lt;/Year&gt;&lt;RecNum&gt;10255&lt;/RecNum&gt;&lt;DisplayText&gt;(Pennebaker et al., 2001)&lt;/DisplayText&gt;&lt;record&gt;&lt;database name="allrefs.enl" path="/Files/EndNote/allrefs.enl"&gt;allrefs.enl&lt;/database&gt;&lt;source-app name="EndNote" version="14.0"&gt;EndNote&lt;/source-app&gt;&lt;rec-number&gt;10255&lt;/rec-number&gt;&lt;foreign-keys&gt;&lt;key app="EN" db-id="d90vsetwrpftsqew0f8pa5d3eepftezf5xpp"&gt;10255&lt;/key&gt;&lt;/foreign-keys&gt;&lt;ref-type name="Book"&gt;6&lt;/ref-type&gt;&lt;contributors&gt;&lt;authors&gt;&lt;author&gt;&lt;style face="normal" font="default" size="100%"&gt;Pennebaker, J. W.&lt;/style&gt;&lt;/author&gt;&lt;author&gt;&lt;style face="normal" font="default" size="100%"&gt;Francis, M. E.&lt;/style&gt;&lt;/author&gt;&lt;author&gt;&lt;style face="normal" font="default" size="100%"&gt;Booth, R. J.&lt;/style&gt;&lt;/author&gt;&lt;/authors&gt;&lt;/contributors&gt;&lt;titles&gt;&lt;title&gt;&lt;style face="normal" font="default" size="100%"&gt;Linguistic Inquiry and Word Count (LIWC): A computerized text analysis program&lt;/style&gt;&lt;/title&gt;&lt;/titles&gt;&lt;dates&gt;&lt;year&gt;&lt;style face="normal" font="default" size="100%"&gt;2001&lt;/style&gt;&lt;/year&gt;&lt;/dates&gt;&lt;pub-location&gt;&lt;style face="normal" font="default" size="100%"&gt;Mahwah, NJ&lt;/style&gt;&lt;/pub-location&gt;&lt;publisher&gt;&lt;style face="normal" font="default" size="100%"&gt;Lawrence Erlbaum Associates&lt;/style&gt;&lt;/publisher&gt;&lt;urls/&gt;&lt;/record&gt;&lt;/Cite&gt;&lt;/EndNote&gt;</w:instrText>
      </w:r>
      <w:r>
        <w:rPr/>
        <w:fldChar w:fldCharType="separate" w:fldLock="0"/>
      </w:r>
      <w:r>
        <w:rPr>
          <w:rtl w:val="0"/>
          <w:lang w:val="en-US"/>
        </w:rPr>
        <w:t>(Pennebaker et al., 2001)</w:t>
      </w:r>
      <w:r>
        <w:rPr/>
        <w:fldChar w:fldCharType="end" w:fldLock="0"/>
      </w:r>
      <w:r>
        <w:rPr>
          <w:rStyle w:val="Default Paragraph Font.0"/>
          <w:rtl w:val="0"/>
          <w:lang w:val="en-US"/>
        </w:rPr>
        <w:t>.</w:t>
      </w:r>
    </w:p>
    <w:p>
      <w:pPr>
        <w:pStyle w:val="Normal.0"/>
        <w:numPr>
          <w:ilvl w:val="0"/>
          <w:numId w:val="10"/>
        </w:numPr>
        <w:rPr>
          <w:rStyle w:val="Default Paragraph Font.0"/>
          <w:sz w:val="20"/>
          <w:szCs w:val="20"/>
          <w:lang w:val="en-US"/>
        </w:rPr>
      </w:pPr>
      <w:r>
        <w:rPr>
          <w:rStyle w:val="Default Paragraph Font.0"/>
          <w:rtl w:val="0"/>
          <w:lang w:val="en-US"/>
        </w:rPr>
        <w:t xml:space="preserve">Find out what children in varying social groups have to say about going to the doctor and how parents respond to these expressions </w:t>
      </w:r>
      <w:r>
        <w:rPr/>
        <w:fldChar w:fldCharType="begin" w:fldLock="0"/>
      </w:r>
      <w:r>
        <w:instrText xml:space="preserve"> ADDIN EN.CITE &lt;EndNote&gt;&lt;Cite  &gt;&lt;Author&gt;Steward, M.&lt;/Author&gt;&lt;Year&gt;2006&lt;/Year&gt;&lt;RecNum&gt;10673&lt;/RecNum&gt;&lt;DisplayText&gt;(Steward &amp; Steward, 2006)&lt;/DisplayText&gt;&lt;record&gt;&lt;database name="allrefs.enl" path="/Files/EndNote/allrefs.enl"&gt;allrefs.enl&lt;/database&gt;&lt;source-app name="EndNote" version="14.0"&gt;EndNote&lt;/source-app&gt;&lt;rec-number&gt;10673&lt;/rec-number&gt;&lt;foreign-keys&gt;&lt;key app="EN" db-id="d90vsetwrpftsqew0f8pa5d3eepftezf5xpp"&gt;10673&lt;/key&gt;&lt;/foreign-keys&gt;&lt;ref-type name="Journal Article"&gt;17&lt;/ref-type&gt;&lt;contributors&gt;&lt;authors&gt;&lt;author&gt;&lt;style face="normal" font="default" size="100%"&gt;Steward, M.&lt;/style&gt;&lt;/author&gt;&lt;author&gt;&lt;style face="normal" font="default" size="100%"&gt;Steward, D.&lt;/style&gt;&lt;/author&gt;&lt;/authors&gt;&lt;/contributors&gt;&lt;titles&gt;&lt;title&gt;&lt;style face="normal" font="default" size="100%"&gt;Children's conceptions of medical procedures&lt;/style&gt;&lt;/title&gt;&lt;secondary-title&gt;&lt;style face="normal" font="default" size="100%"&gt;New Directioins for Child and Adolescent Development&lt;/style&gt;&lt;/secondary-title&gt;&lt;/titles&gt;&lt;periodical&gt;&lt;full-title&gt;&lt;style face="normal" font="default" size="100%"&gt;New Directioins for Child and Adolescent Development&lt;/style&gt;&lt;/full-title&gt;&lt;/periodical&gt;&lt;pages&gt;&lt;style face="normal" font="default" size="100%"&gt;67-83&lt;/style&gt;&lt;/pages&gt;&lt;volume&gt;&lt;style face="normal" font="default" size="100%"&gt;1981&lt;/style&gt;&lt;/volume&gt;&lt;dates&gt;&lt;year&gt;&lt;style face="normal" font="default" size="100%"&gt;2006&lt;/style&gt;&lt;/year&gt;&lt;/dates&gt;&lt;urls/&gt;&lt;/record&gt;&lt;/Cite&gt;&lt;/EndNote&gt;</w:instrText>
      </w:r>
      <w:r>
        <w:rPr/>
        <w:fldChar w:fldCharType="separate" w:fldLock="0"/>
      </w:r>
      <w:r>
        <w:rPr>
          <w:rtl w:val="0"/>
          <w:lang w:val="en-US"/>
        </w:rPr>
        <w:t>(Steward &amp; Steward, 2006)</w:t>
      </w:r>
      <w:r>
        <w:rPr/>
        <w:fldChar w:fldCharType="end" w:fldLock="0"/>
      </w:r>
      <w:r>
        <w:rPr>
          <w:rStyle w:val="Default Paragraph Font.0"/>
          <w:rtl w:val="0"/>
          <w:lang w:val="en-US"/>
        </w:rPr>
        <w:t>.</w:t>
      </w:r>
    </w:p>
    <w:p>
      <w:pPr>
        <w:pStyle w:val="Normal.0"/>
        <w:numPr>
          <w:ilvl w:val="0"/>
          <w:numId w:val="10"/>
        </w:numPr>
        <w:rPr>
          <w:rStyle w:val="Default Paragraph Font.0"/>
          <w:sz w:val="20"/>
          <w:szCs w:val="20"/>
          <w:lang w:val="en-US"/>
        </w:rPr>
      </w:pPr>
      <w:r>
        <w:rPr>
          <w:rStyle w:val="Default Paragraph Font.0"/>
          <w:rtl w:val="0"/>
          <w:lang w:val="en-US"/>
        </w:rPr>
        <w:t xml:space="preserve">Track uses of </w:t>
      </w:r>
      <w:r>
        <w:rPr>
          <w:rStyle w:val="Default Paragraph Font.0"/>
          <w:rFonts w:ascii="Arial Unicode MS" w:cs="Arial Unicode MS" w:hAnsi="Arial Unicode MS" w:eastAsia="Arial Unicode MS" w:hint="eastAsia"/>
          <w:b w:val="0"/>
          <w:bCs w:val="0"/>
          <w:i w:val="0"/>
          <w:iCs w:val="0"/>
          <w:rtl w:val="0"/>
          <w:lang w:val="en-US"/>
        </w:rPr>
        <w:t>鄙人</w:t>
      </w:r>
      <w:r>
        <w:rPr>
          <w:rStyle w:val="Default Paragraph Font.0"/>
          <w:rtl w:val="0"/>
          <w:lang w:val="en-US"/>
        </w:rPr>
        <w:t xml:space="preserve"> </w:t>
      </w:r>
      <w:r>
        <w:rPr>
          <w:rStyle w:val="Default Paragraph Font.0"/>
          <w:rtl w:val="0"/>
          <w:lang w:val="en-US"/>
        </w:rPr>
        <w:t xml:space="preserve">(bi3ren2) or </w:t>
      </w:r>
      <w:r>
        <w:rPr>
          <w:rStyle w:val="Default Paragraph Font.0"/>
          <w:rFonts w:ascii="Arial Unicode MS" w:cs="Arial Unicode MS" w:hAnsi="Arial Unicode MS" w:eastAsia="Arial Unicode MS" w:hint="eastAsia"/>
          <w:b w:val="0"/>
          <w:bCs w:val="0"/>
          <w:i w:val="0"/>
          <w:iCs w:val="0"/>
          <w:rtl w:val="0"/>
          <w:lang w:val="en-US"/>
        </w:rPr>
        <w:t>在下</w:t>
      </w:r>
      <w:r>
        <w:rPr>
          <w:rStyle w:val="Default Paragraph Font.0"/>
          <w:rtl w:val="0"/>
          <w:lang w:val="en-US"/>
        </w:rPr>
        <w:t xml:space="preserve"> </w:t>
      </w:r>
      <w:r>
        <w:rPr>
          <w:rStyle w:val="Default Paragraph Font.0"/>
          <w:rtl w:val="0"/>
          <w:lang w:val="en-US"/>
        </w:rPr>
        <w:t xml:space="preserve">(zui4xia4) for </w:t>
      </w:r>
      <w:r>
        <w:rPr>
          <w:rStyle w:val="Default Paragraph Font.0"/>
          <w:rtl w:val="0"/>
          <w:lang w:val="en-US"/>
        </w:rPr>
        <w:t>“</w:t>
      </w:r>
      <w:r>
        <w:rPr>
          <w:rStyle w:val="Default Paragraph Font.0"/>
          <w:rtl w:val="0"/>
          <w:lang w:val="en-US"/>
        </w:rPr>
        <w:t>your humble servant</w:t>
      </w:r>
      <w:r>
        <w:rPr>
          <w:rStyle w:val="Default Paragraph Font.0"/>
          <w:rtl w:val="0"/>
          <w:lang w:val="en-US"/>
        </w:rPr>
        <w:t xml:space="preserve">” </w:t>
      </w:r>
      <w:r>
        <w:rPr>
          <w:rStyle w:val="Default Paragraph Font.0"/>
          <w:rtl w:val="0"/>
          <w:lang w:val="en-US"/>
        </w:rPr>
        <w:t xml:space="preserve">in Chinese texts from the Ming and Ching dynasties in order to understand the time course of changes in class structure </w:t>
      </w:r>
      <w:r>
        <w:rPr/>
        <w:fldChar w:fldCharType="begin" w:fldLock="0"/>
      </w:r>
      <w:r>
        <w:instrText xml:space="preserve"> ADDIN EN.CITE &lt;EndNote&gt;&lt;Cite  &gt;&lt;Author&gt;Brown, R.&lt;/Author&gt;&lt;Year&gt;1960&lt;/Year&gt;&lt;RecNum&gt;549&lt;/RecNum&gt;&lt;DisplayText&gt;(R. Brown &amp; Gilman, 1960)&lt;/DisplayText&gt;&lt;record&gt;&lt;database name="allrefs.enl" path="/Files/EndNote/allrefs.enl"&gt;allrefs.enl&lt;/database&gt;&lt;source-app name="EndNote" version="14.0"&gt;EndNote&lt;/source-app&gt;&lt;rec-number&gt;549&lt;/rec-number&gt;&lt;foreign-keys&gt;&lt;key app="EN" db-id="d90vsetwrpftsqew0f8pa5d3eepftezf5xpp"&gt;549&lt;/key&gt;&lt;/foreign-keys&gt;&lt;ref-type name="Book Section"&gt;5&lt;/ref-type&gt;&lt;contributors&gt;&lt;authors&gt;&lt;author&gt;&lt;style face="normal" font="default" size="100%"&gt;Brown, R.&lt;/style&gt;&lt;/author&gt;&lt;author&gt;&lt;style face="normal" font="default" size="100%"&gt;Gilman, A.&lt;/style&gt;&lt;/author&gt;&lt;/authors&gt;&lt;secondary-authors&gt;&lt;author&gt;&lt;style face="normal" font="default" size="100%"&gt;T. A. Sebeok&lt;/style&gt;&lt;/author&gt;&lt;/secondary-authors&gt;&lt;/contributors&gt;&lt;titles&gt;&lt;title&gt;&lt;style face="normal" font="default" size="100%"&gt;The pronouns of power and solidarity&lt;/style&gt;&lt;/title&gt;&lt;secondary-title&gt;&lt;style face="normal" font="default" size="100%"&gt;Style in language&lt;/style&gt;&lt;/secondary-title&gt;&lt;/titles&gt;&lt;dates&gt;&lt;year&gt;&lt;style face="normal" font="default" size="100%"&gt;1960&lt;/style&gt;&lt;/year&gt;&lt;/dates&gt;&lt;publisher&gt;&lt;style face="normal" font="default" size="100%"&gt;MIT Press&lt;/style&gt;&lt;/publisher&gt;&lt;urls/&gt;&lt;/record&gt;&lt;/Cite&gt;&lt;/EndNote&gt;</w:instrText>
      </w:r>
      <w:r>
        <w:rPr/>
        <w:fldChar w:fldCharType="separate" w:fldLock="0"/>
      </w:r>
      <w:r>
        <w:rPr>
          <w:rtl w:val="0"/>
          <w:lang w:val="en-US"/>
        </w:rPr>
        <w:t>(R. Brown &amp; Gilman, 1960)</w:t>
      </w:r>
      <w:r>
        <w:rPr/>
        <w:fldChar w:fldCharType="end" w:fldLock="0"/>
      </w:r>
      <w:r>
        <w:rPr>
          <w:rStyle w:val="Default Paragraph Font.0"/>
          <w:rtl w:val="0"/>
          <w:lang w:val="en-US"/>
        </w:rPr>
        <w:t>.</w:t>
      </w:r>
    </w:p>
    <w:p>
      <w:pPr>
        <w:pStyle w:val="Normal.0"/>
        <w:numPr>
          <w:ilvl w:val="0"/>
          <w:numId w:val="10"/>
        </w:numPr>
        <w:rPr>
          <w:rStyle w:val="Default Paragraph Font.0"/>
          <w:sz w:val="20"/>
          <w:szCs w:val="20"/>
          <w:lang w:val="en-US"/>
        </w:rPr>
      </w:pPr>
      <w:r>
        <w:rPr>
          <w:rStyle w:val="Default Paragraph Font.0"/>
          <w:rtl w:val="0"/>
          <w:lang w:val="en-US"/>
        </w:rPr>
        <w:t xml:space="preserve">Examine the extent to which high school classes in mathematics in eight different countries engage in the process of </w:t>
      </w:r>
      <w:r>
        <w:rPr>
          <w:rStyle w:val="Default Paragraph Font.0"/>
          <w:rtl w:val="0"/>
          <w:lang w:val="en-US"/>
        </w:rPr>
        <w:t>“</w:t>
      </w:r>
      <w:r>
        <w:rPr>
          <w:rStyle w:val="Default Paragraph Font.0"/>
          <w:rtl w:val="0"/>
          <w:lang w:val="en-US"/>
        </w:rPr>
        <w:t>accountable talk</w:t>
      </w:r>
      <w:r>
        <w:rPr>
          <w:rStyle w:val="Default Paragraph Font.0"/>
          <w:rtl w:val="0"/>
          <w:lang w:val="en-US"/>
        </w:rPr>
        <w:t xml:space="preserve">” </w:t>
      </w:r>
      <w:r>
        <w:rPr/>
        <w:fldChar w:fldCharType="begin" w:fldLock="0"/>
      </w:r>
      <w:r>
        <w:instrText xml:space="preserve"> ADDIN EN.CITE &lt;EndNote&gt;&lt;Cite  &gt;&lt;Author&gt;Michaels, S.&lt;/Author&gt;&lt;Year&gt;2008&lt;/Year&gt;&lt;RecNum&gt;10674&lt;/RecNum&gt;&lt;DisplayText&gt;(Michaels, O"Connor, &amp; Resnick, 2008)&lt;/DisplayText&gt;&lt;record&gt;&lt;database name="allrefs.enl" path="/Files/EndNote/allrefs.enl"&gt;allrefs.enl&lt;/database&gt;&lt;source-app name="EndNote" version="14.0"&gt;EndNote&lt;/source-app&gt;&lt;rec-number&gt;10674&lt;/rec-number&gt;&lt;foreign-keys&gt;&lt;key app="EN" db-id="d90vsetwrpftsqew0f8pa5d3eepftezf5xpp"&gt;10674&lt;/key&gt;&lt;/foreign-keys&gt;&lt;ref-type name="Journal Article"&gt;17&lt;/ref-type&gt;&lt;contributors&gt;&lt;authors&gt;&lt;author&gt;&lt;style face="normal" font="default" size="100%"&gt;Michaels, S.&lt;/style&gt;&lt;/author&gt;&lt;author&gt;&lt;style face="normal" font="default" size="100%"&gt;O"Connor, C.&lt;/style&gt;&lt;/author&gt;&lt;author&gt;&lt;style face="normal" font="default" size="100%"&gt;Resnick, L.&lt;/style&gt;&lt;/author&gt;&lt;/authors&gt;&lt;/contributors&gt;&lt;titles&gt;&lt;title&gt;&lt;style face="normal" font="default" size="100%"&gt;Deliberative discourse idealized and realized: Accountable talk in the classroom and in civic life&lt;/style&gt;&lt;/title&gt;&lt;secondary-title&gt;&lt;style face="normal" font="default" size="100%"&gt;Studies in Philosophy and Education&lt;/style&gt;&lt;/secondary-title&gt;&lt;/titles&gt;&lt;periodical&gt;&lt;full-title&gt;&lt;style face="normal" font="default" size="100%"&gt;Studies in Philosophy and Education&lt;/style&gt;&lt;/full-title&gt;&lt;/periodical&gt;&lt;pages&gt;&lt;style face="normal" font="default" size="100%"&gt;283-297&lt;/style&gt;&lt;/pages&gt;&lt;volume&gt;&lt;style face="normal" font="default" size="100%"&gt;27&lt;/style&gt;&lt;/volume&gt;&lt;dates&gt;&lt;year&gt;&lt;style face="normal" font="default" size="100%"&gt;2008&lt;/style&gt;&lt;/year&gt;&lt;/dates&gt;&lt;urls/&gt;&lt;/record&gt;&lt;/Cite&gt;&lt;/EndNote&gt;</w:instrText>
      </w:r>
      <w:r>
        <w:rPr/>
        <w:fldChar w:fldCharType="separate" w:fldLock="0"/>
      </w:r>
      <w:r>
        <w:rPr>
          <w:rtl w:val="0"/>
          <w:lang w:val="en-US"/>
        </w:rPr>
        <w:t>(Michaels, O"Connor, &amp; Resnick, 2008)</w:t>
      </w:r>
      <w:r>
        <w:rPr/>
        <w:fldChar w:fldCharType="end" w:fldLock="0"/>
      </w:r>
      <w:r>
        <w:rPr>
          <w:rStyle w:val="Default Paragraph Font.0"/>
          <w:rtl w:val="0"/>
          <w:lang w:val="en-US"/>
        </w:rPr>
        <w:t xml:space="preserve"> and how this discussion plays out in terms of whole class involvement </w:t>
      </w:r>
      <w:r>
        <w:rPr/>
        <w:fldChar w:fldCharType="begin" w:fldLock="0"/>
      </w:r>
      <w:r>
        <w:instrText xml:space="preserve"> ADDIN EN.CITE &lt;EndNote&gt;&lt;Cite  &gt;&lt;Author&gt;Pea, R.&lt;/Author&gt;&lt;Year&gt;2004&lt;/Year&gt;&lt;RecNum&gt;10222&lt;/RecNum&gt;&lt;DisplayText&gt;(Pea, 2004)&lt;/DisplayText&gt;&lt;record&gt;&lt;database name="allrefs.enl" path="/Files/EndNote/allrefs.enl"&gt;allrefs.enl&lt;/database&gt;&lt;source-app name="EndNote" version="14.0"&gt;EndNote&lt;/source-app&gt;&lt;rec-number&gt;10222&lt;/rec-number&gt;&lt;foreign-keys&gt;&lt;key app="EN" db-id="d90vsetwrpftsqew0f8pa5d3eepftezf5xpp"&gt;10222&lt;/key&gt;&lt;/foreign-keys&gt;&lt;ref-type name="Book Section"&gt;5&lt;/ref-type&gt;&lt;contributors&gt;&lt;authors&gt;&lt;author&gt;&lt;style face="normal" font="default" size="100%"&gt;Pea, R.&lt;/style&gt;&lt;/author&gt;&lt;/authors&gt;&lt;secondary-authors&gt;&lt;author&gt;&lt;style face="normal" font="default" size="100%"&gt;Weiss, J.&lt;/style&gt;&lt;/author&gt;&lt;author&gt;&lt;style face="normal" font="default" size="100%"&gt;Nolan, J.&lt;/style&gt;&lt;/author&gt;&lt;author&gt;&lt;style face="normal" font="default" size="100%"&gt;Trifonas, P.&lt;/style&gt;&lt;/author&gt;&lt;/secondary-authors&gt;&lt;/contributors&gt;&lt;titles&gt;&lt;title&gt;&lt;style face="normal" font="default" size="100%"&gt;Video-as-data and digital video manipulation techniques for transforming learning sciences research, education and other cultural practices&lt;/style&gt;&lt;/title&gt;&lt;secondary-title&gt;&lt;style face="normal" font="default" size="100%"&gt;International handbook of virtual learning environments&lt;/style&gt;&lt;/secondary-title&gt;&lt;/titles&gt;&lt;dates&gt;&lt;year&gt;&lt;style face="normal" font="default" size="100%"&gt;2004&lt;/style&gt;&lt;/year&gt;&lt;/dates&gt;&lt;pub-location&gt;&lt;style face="normal" font="default" size="100%"&gt;Amsterdam&lt;/style&gt;&lt;/pub-location&gt;&lt;publisher&gt;&lt;style face="normal" font="default" size="100%"&gt;Kluwer Academic Publishing&lt;/style&gt;&lt;/publisher&gt;&lt;urls/&gt;&lt;/record&gt;&lt;/Cite&gt;&lt;/EndNote&gt;</w:instrText>
      </w:r>
      <w:r>
        <w:rPr/>
        <w:fldChar w:fldCharType="separate" w:fldLock="0"/>
      </w:r>
      <w:r>
        <w:rPr>
          <w:rtl w:val="0"/>
          <w:lang w:val="en-US"/>
        </w:rPr>
        <w:t>(Pea, 2004)</w:t>
      </w:r>
      <w:r>
        <w:rPr/>
        <w:fldChar w:fldCharType="end" w:fldLock="0"/>
      </w:r>
      <w:r>
        <w:rPr>
          <w:rStyle w:val="Default Paragraph Font.0"/>
          <w:rtl w:val="0"/>
          <w:lang w:val="en-US"/>
        </w:rPr>
        <w:t>.</w:t>
      </w:r>
    </w:p>
    <w:p>
      <w:pPr>
        <w:pStyle w:val="Normal.0"/>
        <w:numPr>
          <w:ilvl w:val="0"/>
          <w:numId w:val="10"/>
        </w:numPr>
        <w:rPr>
          <w:rStyle w:val="Default Paragraph Font.0"/>
          <w:sz w:val="20"/>
          <w:szCs w:val="20"/>
          <w:lang w:val="en-US"/>
        </w:rPr>
      </w:pPr>
      <w:r>
        <w:rPr>
          <w:rStyle w:val="Default Paragraph Font.0"/>
          <w:rtl w:val="0"/>
          <w:lang w:val="en-US"/>
        </w:rPr>
        <w:t xml:space="preserve">Tabulate and graph the frequency of verb overregularizations such as goed and runned in child language samples between ages 1;6 and 3;10 </w:t>
      </w:r>
      <w:r>
        <w:rPr/>
        <w:fldChar w:fldCharType="begin" w:fldLock="0"/>
      </w:r>
      <w:r>
        <w:instrText xml:space="preserve"> ADDIN EN.CITE &lt;EndNote&gt;&lt;Cite  &gt;&lt;Author&gt;Marcus, G.&lt;/Author&gt;&lt;Year&gt;1992&lt;/Year&gt;&lt;RecNum&gt;5263&lt;/RecNum&gt;&lt;DisplayText&gt;(Marcus et al., 1992)&lt;/DisplayText&gt;&lt;record&gt;&lt;database name="allrefs.enl" path="/Files/EndNote/allrefs.enl"&gt;allrefs.enl&lt;/database&gt;&lt;source-app name="EndNote" version="14.0"&gt;EndNote&lt;/source-app&gt;&lt;rec-number&gt;5263&lt;/rec-number&gt;&lt;foreign-keys&gt;&lt;key app="EN" db-id="d90vsetwrpftsqew0f8pa5d3eepftezf5xpp"&gt;5263&lt;/key&gt;&lt;/foreign-keys&gt;&lt;ref-type name="Journal Article"&gt;17&lt;/ref-type&gt;&lt;contributors&gt;&lt;authors&gt;&lt;author&gt;&lt;style face="normal" font="default" size="100%"&gt;Marcus, G.&lt;/style&gt;&lt;/author&gt;&lt;author&gt;&lt;style face="normal" font="default" size="100%"&gt;Ullman, M.&lt;/style&gt;&lt;/author&gt;&lt;author&gt;&lt;style face="normal" font="default" size="100%"&gt;Pinker, S.&lt;/style&gt;&lt;/author&gt;&lt;author&gt;&lt;style face="normal" font="default" size="100%"&gt;Hollander, M.&lt;/style&gt;&lt;/author&gt;&lt;author&gt;&lt;style face="normal" font="default" size="100%"&gt;Rosen, T.&lt;/style&gt;&lt;/author&gt;&lt;author&gt;&lt;style face="normal" font="default" size="100%"&gt;Xu, F.&lt;/style&gt;&lt;/author&gt;&lt;/authors&gt;&lt;/contributors&gt;&lt;titles&gt;&lt;title&gt;&lt;style face="normal" font="default" size="100%"&gt;Overregularization in language acquisition&lt;/style&gt;&lt;/title&gt;&lt;secondary-title&gt;&lt;style face="normal" font="default" size="100%"&gt;Monographs of the Society for Research in Child Development&lt;/style&gt;&lt;/secondary-title&gt;&lt;/titles&gt;&lt;periodical&gt;&lt;full-title&gt;&lt;style face="normal" font="default" size="100%"&gt;Monographs of the Society for Research in Child Development&lt;/style&gt;&lt;/full-title&gt;&lt;/periodical&gt;&lt;pages&gt;&lt;style face="normal" font="default" size="100%"&gt;1-182&lt;/style&gt;&lt;/pages&gt;&lt;volume&gt;&lt;style face="normal" font="default" size="100%"&gt;57&lt;/style&gt;&lt;/volume&gt;&lt;number&gt;&lt;style face="normal" font="default" size="100%"&gt;4&lt;/style&gt;&lt;/number&gt;&lt;keywords&gt;&lt;keyword&gt;&lt;style face="normal" font="default" size="100%"&gt;CHILDES&lt;/style&gt;&lt;/keyword&gt;&lt;/keywords&gt;&lt;dates&gt;&lt;year&gt;&lt;style face="normal" font="default" size="100%"&gt;1992&lt;/style&gt;&lt;/year&gt;&lt;/dates&gt;&lt;urls/&gt;&lt;/record&gt;&lt;/Cite&gt;&lt;/EndNote&gt;</w:instrText>
      </w:r>
      <w:r>
        <w:rPr/>
        <w:fldChar w:fldCharType="separate" w:fldLock="0"/>
      </w:r>
      <w:r>
        <w:rPr>
          <w:rtl w:val="0"/>
          <w:lang w:val="en-US"/>
        </w:rPr>
        <w:t>(Marcus et al., 1992)</w:t>
      </w:r>
      <w:r>
        <w:rPr/>
        <w:fldChar w:fldCharType="end" w:fldLock="0"/>
      </w:r>
      <w:r>
        <w:rPr>
          <w:rStyle w:val="Default Paragraph Font.0"/>
          <w:rtl w:val="0"/>
          <w:lang w:val="en-US"/>
        </w:rPr>
        <w:t>. Pass the matches to either Excel or R for further statistical analysis.</w:t>
      </w:r>
    </w:p>
    <w:p>
      <w:pPr>
        <w:pStyle w:val="Normal.0"/>
        <w:numPr>
          <w:ilvl w:val="0"/>
          <w:numId w:val="10"/>
        </w:numPr>
        <w:rPr>
          <w:rStyle w:val="Default Paragraph Font.0"/>
          <w:sz w:val="20"/>
          <w:szCs w:val="20"/>
          <w:lang w:val="en-US"/>
        </w:rPr>
      </w:pPr>
      <w:r>
        <w:rPr>
          <w:rStyle w:val="Default Paragraph Font.0"/>
          <w:rtl w:val="0"/>
          <w:lang w:val="en-US"/>
        </w:rPr>
        <w:t xml:space="preserve">Compare videotaped story telling and route descriptions in cultures that construct geocentric spatial terms, such as Tzeltal </w:t>
      </w:r>
      <w:r>
        <w:rPr/>
        <w:fldChar w:fldCharType="begin" w:fldLock="0"/>
      </w:r>
      <w:r>
        <w:instrText xml:space="preserve"> ADDIN EN.CITE &lt;EndNote&gt;&lt;Cite  &gt;&lt;Author&gt;Brown, P.&lt;/Author&gt;&lt;Year&gt;2001&lt;/Year&gt;&lt;RecNum&gt;10681&lt;/RecNum&gt;&lt;DisplayText&gt;(P. Brown, 2001)&lt;/DisplayText&gt;&lt;record&gt;&lt;database name="allrefs.enl" path="/Files/EndNote/allrefs.enl"&gt;allrefs.enl&lt;/database&gt;&lt;source-app name="EndNote" version="14.0"&gt;EndNote&lt;/source-app&gt;&lt;rec-number&gt;10681&lt;/rec-number&gt;&lt;foreign-keys&gt;&lt;key app="EN" db-id="d90vsetwrpftsqew0f8pa5d3eepftezf5xpp"&gt;10681&lt;/key&gt;&lt;/foreign-keys&gt;&lt;ref-type name="Book Section"&gt;5&lt;/ref-type&gt;&lt;contributors&gt;&lt;authors&gt;&lt;author&gt;&lt;style face="normal" font="default" size="100%"&gt;Brown, P.&lt;/style&gt;&lt;/author&gt;&lt;/authors&gt;&lt;secondary-authors&gt;&lt;author&gt;&lt;style face="normal" font="default" size="100%"&gt;Bowerman, M.&lt;/style&gt;&lt;/author&gt;&lt;author&gt;&lt;style face="normal" font="default" size="100%"&gt;Levinson, S.&lt;/style&gt;&lt;/author&gt;&lt;/secondary-authors&gt;&lt;/contributors&gt;&lt;titles&gt;&lt;title&gt;&lt;style face="normal" font="default" size="100%"&gt;Learning to talk about motion UP and DOWN in Tzeltal: is there a language-specific bias for verb learning?&lt;/style&gt;&lt;/title&gt;&lt;secondary-title&gt;&lt;style face="normal" font="default" size="100%"&gt;Language acquisition and conceptual development&lt;/style&gt;&lt;/secondary-title&gt;&lt;/titles&gt;&lt;dates&gt;&lt;year&gt;&lt;style face="normal" font="default" size="100%"&gt;2001&lt;/style&gt;&lt;/year&gt;&lt;/dates&gt;&lt;pub-location&gt;&lt;style face="normal" font="default" size="100%"&gt;New York&lt;/style&gt;&lt;/pub-location&gt;&lt;publisher&gt;&lt;style face="normal" font="default" size="100%"&gt;Cambridge University Press&lt;/style&gt;&lt;/publisher&gt;&lt;urls/&gt;&lt;/record&gt;&lt;/Cite&gt;&lt;/EndNote&gt;</w:instrText>
      </w:r>
      <w:r>
        <w:rPr/>
        <w:fldChar w:fldCharType="separate" w:fldLock="0"/>
      </w:r>
      <w:r>
        <w:rPr>
          <w:rtl w:val="0"/>
          <w:lang w:val="en-US"/>
        </w:rPr>
        <w:t>(P. Brown, 2001)</w:t>
      </w:r>
      <w:r>
        <w:rPr/>
        <w:fldChar w:fldCharType="end" w:fldLock="0"/>
      </w:r>
      <w:r>
        <w:rPr>
          <w:rStyle w:val="Default Paragraph Font.0"/>
          <w:rtl w:val="0"/>
          <w:lang w:val="en-US"/>
        </w:rPr>
        <w:t xml:space="preserve"> or Guugu Yimithirr </w:t>
      </w:r>
      <w:r>
        <w:rPr/>
        <w:fldChar w:fldCharType="begin" w:fldLock="0"/>
      </w:r>
      <w:r>
        <w:instrText xml:space="preserve"> ADDIN EN.CITE &lt;EndNote&gt;&lt;Cite  &gt;&lt;Author&gt;Haviland, J. B.&lt;/Author&gt;&lt;Year&gt;1993&lt;/Year&gt;&lt;RecNum&gt;7695&lt;/RecNum&gt;&lt;DisplayText&gt;(Haviland, 1993)&lt;/DisplayText&gt;&lt;record&gt;&lt;database name="allrefs.enl" path="/Files/EndNote/allrefs.enl"&gt;allrefs.enl&lt;/database&gt;&lt;source-app name="EndNote" version="14.0"&gt;EndNote&lt;/source-app&gt;&lt;rec-number&gt;7695&lt;/rec-number&gt;&lt;foreign-keys&gt;&lt;key app="EN" db-id="d90vsetwrpftsqew0f8pa5d3eepftezf5xpp"&gt;7695&lt;/key&gt;&lt;/foreign-keys&gt;&lt;ref-type name="Journal Article"&gt;17&lt;/ref-type&gt;&lt;contributors&gt;&lt;authors&gt;&lt;author&gt;&lt;style face="normal" font="default" size="100%"&gt;Haviland, J. B.&lt;/style&gt;&lt;/author&gt;&lt;/authors&gt;&lt;/contributors&gt;&lt;titles&gt;&lt;title&gt;&lt;style face="normal" font="default" size="100%"&gt;Anchoring, iconicity, and orientation in Guugu Yimithirr pointing gestures&lt;/style&gt;&lt;/title&gt;&lt;secondary-title&gt;&lt;style face="normal" font="default" size="100%"&gt;Journal of Linguistic Anthropology&lt;/style&gt;&lt;/secondary-title&gt;&lt;/titles&gt;&lt;pages&gt;&lt;style face="normal" font="default" size="100%"&gt;3-45&lt;/style&gt;&lt;/pages&gt;&lt;volume&gt;&lt;style face="normal" font="default" size="100%"&gt;3&lt;/style&gt;&lt;/volume&gt;&lt;dates&gt;&lt;year&gt;&lt;style face="normal" font="default" size="100%"&gt;1993&lt;/style&gt;&lt;/year&gt;&lt;/dates&gt;&lt;urls/&gt;&lt;/record&gt;&lt;/Cite&gt;&lt;/EndNote&gt;</w:instrText>
      </w:r>
      <w:r>
        <w:rPr/>
        <w:fldChar w:fldCharType="separate" w:fldLock="0"/>
      </w:r>
      <w:r>
        <w:rPr>
          <w:rtl w:val="0"/>
          <w:lang w:val="en-US"/>
        </w:rPr>
        <w:t>(Haviland, 1993)</w:t>
      </w:r>
      <w:r>
        <w:rPr/>
        <w:fldChar w:fldCharType="end" w:fldLock="0"/>
      </w:r>
      <w:r>
        <w:rPr>
          <w:rStyle w:val="Default Paragraph Font.0"/>
          <w:rtl w:val="0"/>
          <w:lang w:val="en-US"/>
        </w:rPr>
        <w:t xml:space="preserve"> with those that use allocentric reference. Relate these to ways in which people describe geophysical features of their environment </w:t>
      </w:r>
      <w:r>
        <w:rPr/>
        <w:fldChar w:fldCharType="begin" w:fldLock="0"/>
      </w:r>
      <w:r>
        <w:instrText xml:space="preserve"> ADDIN EN.CITE &lt;EndNote&gt;&lt;Cite  &gt;&lt;Author&gt;Mark, D.&lt;/Author&gt;&lt;Year&gt;1999&lt;/Year&gt;&lt;RecNum&gt;10675&lt;/RecNum&gt;&lt;DisplayText&gt;(Mark, Freksa, Hirtle, Lloyd, &amp; Tversky, 1999)&lt;/DisplayText&gt;&lt;record&gt;&lt;database name="allrefs.enl" path="/Files/EndNote/allrefs.enl"&gt;allrefs.enl&lt;/database&gt;&lt;source-app name="EndNote" version="14.0"&gt;EndNote&lt;/source-app&gt;&lt;rec-number&gt;10675&lt;/rec-number&gt;&lt;foreign-keys&gt;&lt;key app="EN" db-id="d90vsetwrpftsqew0f8pa5d3eepftezf5xpp"&gt;10675&lt;/key&gt;&lt;/foreign-keys&gt;&lt;ref-type name="Journal Article"&gt;17&lt;/ref-type&gt;&lt;contributors&gt;&lt;authors&gt;&lt;author&gt;&lt;style face="normal" font="default" size="100%"&gt;Mark, D.&lt;/style&gt;&lt;/author&gt;&lt;author&gt;&lt;style face="normal" font="default" size="100%"&gt;Freksa, C.&lt;/style&gt;&lt;/author&gt;&lt;author&gt;&lt;style face="normal" font="default" size="100%"&gt;Hirtle, S.&lt;/style&gt;&lt;/author&gt;&lt;author&gt;&lt;style face="normal" font="default" size="100%"&gt;Lloyd, R.&lt;/style&gt;&lt;/author&gt;&lt;author&gt;&lt;style face="normal" font="default" size="100%"&gt;Tversky, B.&lt;/style&gt;&lt;/author&gt;&lt;/authors&gt;&lt;/contributors&gt;&lt;titles&gt;&lt;title&gt;&lt;style face="normal" font="default" size="100%"&gt;Cognitive models of geographical space&lt;/style&gt;&lt;/title&gt;&lt;secondary-title&gt;&lt;style face="normal" font="default" size="100%"&gt;International Journal of Geographical Information Science&lt;/style&gt;&lt;/secondary-title&gt;&lt;/titles&gt;&lt;periodical&gt;&lt;full-title&gt;&lt;style face="normal" font="default" size="100%"&gt;International Journal of Geographical Information Science&lt;/style&gt;&lt;/full-title&gt;&lt;/periodical&gt;&lt;pages&gt;&lt;style face="normal" font="default" size="100%"&gt;747-774&lt;/style&gt;&lt;/pages&gt;&lt;volume&gt;&lt;style face="normal" font="default" size="100%"&gt;13&lt;/style&gt;&lt;/volume&gt;&lt;dates&gt;&lt;year&gt;&lt;style face="normal" font="default" size="100%"&gt;1999&lt;/style&gt;&lt;/year&gt;&lt;/dates&gt;&lt;urls/&gt;&lt;/record&gt;&lt;/Cite&gt;&lt;/EndNote&gt;</w:instrText>
      </w:r>
      <w:r>
        <w:rPr/>
        <w:fldChar w:fldCharType="separate" w:fldLock="0"/>
      </w:r>
      <w:r>
        <w:rPr>
          <w:rtl w:val="0"/>
          <w:lang w:val="en-US"/>
        </w:rPr>
        <w:t>(Mark, Freksa, Hirtle, Lloyd, &amp; Tversky, 1999)</w:t>
      </w:r>
      <w:r>
        <w:rPr/>
        <w:fldChar w:fldCharType="end" w:fldLock="0"/>
      </w:r>
      <w:r>
        <w:rPr>
          <w:rStyle w:val="Default Paragraph Font.0"/>
          <w:rtl w:val="0"/>
          <w:lang w:val="en-US"/>
        </w:rPr>
        <w:t>.</w:t>
      </w:r>
    </w:p>
    <w:p>
      <w:pPr>
        <w:pStyle w:val="Normal.0"/>
        <w:numPr>
          <w:ilvl w:val="0"/>
          <w:numId w:val="10"/>
        </w:numPr>
        <w:rPr>
          <w:rStyle w:val="Default Paragraph Font.0"/>
          <w:sz w:val="20"/>
          <w:szCs w:val="20"/>
          <w:lang w:val="en-US"/>
        </w:rPr>
      </w:pPr>
      <w:r>
        <w:rPr>
          <w:rStyle w:val="Default Paragraph Font.0"/>
          <w:rtl w:val="0"/>
          <w:lang w:val="en-US"/>
        </w:rPr>
        <w:t xml:space="preserve">Extend the analysis of Seyfarth &amp; Cheney </w:t>
      </w:r>
      <w:r>
        <w:rPr/>
        <w:fldChar w:fldCharType="begin" w:fldLock="0"/>
      </w:r>
      <w:r>
        <w:instrText xml:space="preserve"> ADDIN EN.CITE &lt;EndNote&gt;&lt;Cite ExcludeAuth="1" &gt;&lt;Author&gt;Seyfarth, R.&lt;/Author&gt;&lt;Year&gt;1999&lt;/Year&gt;&lt;RecNum&gt;9431&lt;/RecNum&gt;&lt;DisplayText&gt;(1999)&lt;/DisplayText&gt;&lt;record&gt;&lt;database name="allrefs.enl" path="/Files/EndNote/allrefs.enl"&gt;allrefs.enl&lt;/database&gt;&lt;source-app name="EndNote" version="14.0"&gt;EndNote&lt;/source-app&gt;&lt;rec-number&gt;9431&lt;/rec-number&gt;&lt;foreign-keys&gt;&lt;key app="EN" db-id="d90vsetwrpftsqew0f8pa5d3eepftezf5xpp"&gt;9431&lt;/key&gt;&lt;/foreign-keys&gt;&lt;ref-type name="Book Section"&gt;5&lt;/ref-type&gt;&lt;contributors&gt;&lt;authors&gt;&lt;author&gt;&lt;style face="normal" font="default" size="100%"&gt;Seyfarth, R.&lt;/style&gt;&lt;/author&gt;&lt;author&gt;&lt;style face="normal" font="default" size="100%"&gt;Cheney, D.&lt;/style&gt;&lt;/author&gt;&lt;/authors&gt;&lt;secondary-authors&gt;&lt;author&gt;&lt;style face="normal" font="default" size="100%"&gt;Hauser, M.&lt;/style&gt;&lt;/author&gt;&lt;author&gt;&lt;style face="normal" font="default" size="100%"&gt;Konishi, M.&lt;/style&gt;&lt;/author&gt;&lt;/secondary-authors&gt;&lt;/contributors&gt;&lt;titles&gt;&lt;title&gt;&lt;style face="normal" font="default" size="100%"&gt;Production, usage, and response in nonhuman primate vocal development&lt;/style&gt;&lt;/title&gt;&lt;secondary-title&gt;&lt;style face="normal" font="default" size="100%"&gt;Neural mechanisms of communication&lt;/style&gt;&lt;/secondary-title&gt;&lt;/titles&gt;&lt;pages&gt;&lt;style face="normal" font="default" size="100%"&gt;57-83&lt;/style&gt;&lt;/pages&gt;&lt;keywords&gt;&lt;keyword&gt;&lt;style face="normal" font="default" size="100%"&gt;evolution&lt;/style&gt;&lt;/keyword&gt;&lt;/keywords&gt;&lt;dates&gt;&lt;year&gt;&lt;style face="normal" font="default" size="100%"&gt;1999&lt;/style&gt;&lt;/year&gt;&lt;/dates&gt;&lt;pub-location&gt;&lt;style face="normal" font="default" size="100%"&gt;Cambridge, MA&lt;/style&gt;&lt;/pub-location&gt;&lt;publisher&gt;&lt;style face="normal" font="default" size="100%"&gt;MIT Press&lt;/style&gt;&lt;/publisher&gt;&lt;urls/&gt;&lt;/record&gt;&lt;/Cite&gt;&lt;/EndNote&gt;</w:instrText>
      </w:r>
      <w:r>
        <w:rPr/>
        <w:fldChar w:fldCharType="separate" w:fldLock="0"/>
      </w:r>
      <w:r>
        <w:rPr>
          <w:rtl w:val="0"/>
          <w:lang w:val="en-US"/>
        </w:rPr>
        <w:t>(1999)</w:t>
      </w:r>
      <w:r>
        <w:rPr/>
        <w:fldChar w:fldCharType="end" w:fldLock="0"/>
      </w:r>
      <w:r>
        <w:rPr>
          <w:rStyle w:val="Default Paragraph Font.0"/>
          <w:rtl w:val="0"/>
          <w:lang w:val="en-US"/>
        </w:rPr>
        <w:t xml:space="preserve"> for vervet monkey vocalizations to vocalizations from groups of meerkats </w:t>
      </w:r>
      <w:r>
        <w:rPr/>
        <w:fldChar w:fldCharType="begin" w:fldLock="0"/>
      </w:r>
      <w:r>
        <w:instrText xml:space="preserve"> ADDIN EN.CITE &lt;EndNote&gt;&lt;Cite  &gt;&lt;DisplayText&gt;(Hollén &amp; Manser, 2007)&lt;/DisplayText&gt;&lt;record&gt;&lt;database name="allrefs.enl" path="/Files/EndNote/allrefs.enl"&gt;allrefs.enl&lt;/database&gt;&lt;source-app name="EndNote" version="14.0"&gt;EndNote&lt;/source-app&gt;&lt;rec-number&gt;10690&lt;/rec-number&gt;&lt;foreign-keys&gt;&lt;key app="EN" db-id="d90vsetwrpftsqew0f8pa5d3eepftezf5xpp"&gt;10690&lt;/key&gt;&lt;/foreign-keys&gt;&lt;ref-type name="Journal Article"&gt;17&lt;/ref-type&gt;&lt;contributors&gt;&lt;authors&gt;&lt;author&gt;&lt;style face="normal" font="default" size="100%"&gt;Hollén, L.&lt;/style&gt;&lt;/author&gt;&lt;author&gt;&lt;style face="normal" font="default" size="100%"&gt;Manser, M.&lt;/style&gt;&lt;/author&gt;&lt;/authors&gt;&lt;/contributors&gt;&lt;titles&gt;&lt;title&gt;&lt;style face="normal" font="default" size="100%"&gt;Motivation before meaning: motivational information encoded in meerkat alarm calls develops earlier than referential information&lt;/style&gt;&lt;/title&gt;&lt;secondary-title&gt;&lt;style face="normal" font="default" size="100%"&gt;The American Naturalist&lt;/style&gt;&lt;/secondary-title&gt;&lt;/titles&gt;&lt;periodical&gt;&lt;full-title&gt;&lt;style face="normal" font="default" size="100%"&gt;The American Naturalist&lt;/style&gt;&lt;/full-title&gt;&lt;/periodical&gt;&lt;pages&gt;&lt;style face="normal" font="default" size="100%"&gt;758-767&lt;/style&gt;&lt;/pages&gt;&lt;volume&gt;&lt;style face="normal" font="default" size="100%"&gt;169&lt;/style&gt;&lt;/volume&gt;&lt;dates&gt;&lt;year&gt;&lt;style face="normal" font="default" size="100%"&gt;2007&lt;/style&gt;&lt;/year&gt;&lt;/dates&gt;&lt;urls/&gt;&lt;/record&gt;&lt;/Cite&gt;&lt;/EndNote&gt;</w:instrText>
      </w:r>
      <w:r>
        <w:rPr/>
        <w:fldChar w:fldCharType="separate" w:fldLock="0"/>
      </w:r>
      <w:r>
        <w:rPr>
          <w:rtl w:val="0"/>
          <w:lang w:val="en-US"/>
        </w:rPr>
        <w:t>(Hollén &amp; Manser, 2007)</w:t>
      </w:r>
      <w:r>
        <w:rPr/>
        <w:fldChar w:fldCharType="end" w:fldLock="0"/>
      </w:r>
      <w:r>
        <w:rPr>
          <w:rStyle w:val="Default Paragraph Font.0"/>
          <w:rtl w:val="0"/>
          <w:lang w:val="en-US"/>
        </w:rPr>
        <w:t>, using data currently in TalkBank.</w:t>
      </w:r>
    </w:p>
    <w:p>
      <w:pPr>
        <w:pStyle w:val="Normal.0"/>
        <w:numPr>
          <w:ilvl w:val="0"/>
          <w:numId w:val="10"/>
        </w:numPr>
        <w:rPr>
          <w:rStyle w:val="Default Paragraph Font.0"/>
          <w:sz w:val="20"/>
          <w:szCs w:val="20"/>
          <w:lang w:val="en-US"/>
        </w:rPr>
      </w:pPr>
      <w:r>
        <w:rPr>
          <w:rStyle w:val="Default Paragraph Font.0"/>
          <w:rtl w:val="0"/>
          <w:lang w:val="en-US"/>
        </w:rPr>
        <w:t xml:space="preserve">Use scene segmentation and gaze alignment to measure how people maintain eye contact </w:t>
      </w:r>
      <w:r>
        <w:rPr/>
        <w:fldChar w:fldCharType="begin" w:fldLock="0"/>
      </w:r>
      <w:r>
        <w:instrText xml:space="preserve"> ADDIN EN.CITE &lt;EndNote&gt;&lt;Cite  &gt;&lt;Author&gt;Vertegaal, R.&lt;/Author&gt;&lt;Year&gt;2001&lt;/Year&gt;&lt;RecNum&gt;10683&lt;/RecNum&gt;&lt;DisplayText&gt;(Vertegaal, Slagter, van der Veer, &amp; Nijholt, 2001)&lt;/DisplayText&gt;&lt;record&gt;&lt;database name="allrefs.enl" path="/Files/EndNote/allrefs.enl"&gt;allrefs.enl&lt;/database&gt;&lt;source-app name="EndNote" version="14.0"&gt;EndNote&lt;/source-app&gt;&lt;rec-number&gt;10683&lt;/rec-number&gt;&lt;foreign-keys&gt;&lt;key app="EN" db-id="d90vsetwrpftsqew0f8pa5d3eepftezf5xpp"&gt;10683&lt;/key&gt;&lt;/foreign-keys&gt;&lt;ref-type name="Conference Proceedings"&gt;10&lt;/ref-type&gt;&lt;contributors&gt;&lt;authors&gt;&lt;author&gt;&lt;style face="normal" font="default" size="100%"&gt;Vertegaal, R.&lt;/style&gt;&lt;/author&gt;&lt;author&gt;&lt;style face="normal" font="default" size="100%"&gt;Slagter, R.&lt;/style&gt;&lt;/author&gt;&lt;author&gt;&lt;style face="normal" font="default" size="100%"&gt;van der Veer, G.&lt;/style&gt;&lt;/author&gt;&lt;author&gt;&lt;style face="normal" font="default" size="100%"&gt;Nijholt, A.&lt;/style&gt;&lt;/author&gt;&lt;/authors&gt;&lt;/contributors&gt;&lt;titles&gt;&lt;title&gt;&lt;style face="normal" font="default" size="100%"&gt;Eye gaze patterns in conversations: there is more to conversational agents than meets the eyes&lt;/style&gt;&lt;/title&gt;&lt;secondary-title&gt;&lt;style face="normal" font="default" size="100%"&gt;Conference on Human Factors in Computing Systems&lt;/style&gt;&lt;/secondary-title&gt;&lt;/titles&gt;&lt;pages&gt;&lt;style face="normal" font="default" size="100%"&gt;301-308&lt;/style&gt;&lt;/pages&gt;&lt;dates&gt;&lt;year&gt;&lt;style face="normal" font="default" size="100%"&gt;2001&lt;/style&gt;&lt;/year&gt;&lt;/dates&gt;&lt;publisher&gt;&lt;style face="normal" font="default" size="100%"&gt;ACM&lt;/style&gt;&lt;/publisher&gt;&lt;urls/&gt;&lt;/record&gt;&lt;/Cite&gt;&lt;/EndNote&gt;</w:instrText>
      </w:r>
      <w:r>
        <w:rPr/>
        <w:fldChar w:fldCharType="separate" w:fldLock="0"/>
      </w:r>
      <w:r>
        <w:rPr>
          <w:rtl w:val="0"/>
          <w:lang w:val="en-US"/>
        </w:rPr>
        <w:t>(Vertegaal, Slagter, van der Veer, &amp; Nijholt, 2001)</w:t>
      </w:r>
      <w:r>
        <w:rPr/>
        <w:fldChar w:fldCharType="end" w:fldLock="0"/>
      </w:r>
      <w:r>
        <w:rPr>
          <w:rStyle w:val="Default Paragraph Font.0"/>
          <w:rtl w:val="0"/>
          <w:lang w:val="en-US"/>
        </w:rPr>
        <w:t xml:space="preserve"> and postural direction during survey interviews </w:t>
      </w:r>
      <w:r>
        <w:rPr/>
        <w:fldChar w:fldCharType="begin" w:fldLock="0"/>
      </w:r>
      <w:r>
        <w:instrText xml:space="preserve"> ADDIN EN.CITE &lt;EndNote&gt;&lt;Cite  &gt;&lt;Author&gt;Schober, M.&lt;/Author&gt;&lt;Year&gt;2006&lt;/Year&gt;&lt;RecNum&gt;10684&lt;/RecNum&gt;&lt;DisplayText&gt;(Groves, 2004; Schober &amp; Conrad, 2006)&lt;/DisplayText&gt;&lt;record&gt;&lt;database name="allrefs.enl" path="/Files/EndNote/allrefs.enl"&gt;allrefs.enl&lt;/database&gt;&lt;source-app name="EndNote" version="14.0"&gt;EndNote&lt;/source-app&gt;&lt;rec-number&gt;10684&lt;/rec-number&gt;&lt;foreign-keys&gt;&lt;key app="EN" db-id="d90vsetwrpftsqew0f8pa5d3eepftezf5xpp"&gt;10684&lt;/key&gt;&lt;/foreign-keys&gt;&lt;ref-type name="Journal Article"&gt;17&lt;/ref-type&gt;&lt;contributors&gt;&lt;authors&gt;&lt;author&gt;&lt;style face="normal" font="default" size="100%"&gt;Schober, M.&lt;/style&gt;&lt;/author&gt;&lt;author&gt;&lt;style face="normal" font="default" size="100%"&gt;Conrad, F.&lt;/style&gt;&lt;/author&gt;&lt;/authors&gt;&lt;/contributors&gt;&lt;titles&gt;&lt;title&gt;&lt;style face="normal" font="default" size="100%"&gt;Does conversational interviewing reduce survey measurement error?&lt;/style&gt;&lt;/title&gt;&lt;secondary-title&gt;&lt;style face="normal" font="default" size="100%"&gt;Public Opinion Quarterly&lt;/style&gt;&lt;/secondary-title&gt;&lt;/titles&gt;&lt;periodical&gt;&lt;full-title&gt;&lt;style face="normal" font="default" size="100%"&gt;Public Opinion Quarterly&lt;/style&gt;&lt;/full-title&gt;&lt;/periodical&gt;&lt;pages&gt;&lt;style face="normal" font="default" size="100%"&gt;576-602&lt;/style&gt;&lt;/pages&gt;&lt;volume&gt;&lt;style face="normal" font="default" size="100%"&gt;61&lt;/style&gt;&lt;/volume&gt;&lt;dates&gt;&lt;year&gt;&lt;style face="normal" font="default" size="100%"&gt;2006&lt;/style&gt;&lt;/year&gt;&lt;/dates&gt;&lt;urls/&gt;&lt;/record&gt;&lt;/Cite&gt;&lt;Cite  &gt;&lt;Author&gt;Groves, R.&lt;/Author&gt;&lt;Year&gt;2004&lt;/Year&gt;&lt;RecNum&gt;10686&lt;/RecNum&gt;&lt;record&gt;&lt;database name="allrefs.enl" path="/Files/EndNote/allrefs.enl"&gt;allrefs.enl&lt;/database&gt;&lt;source-app name="EndNote" version="14.0"&gt;EndNote&lt;/source-app&gt;&lt;rec-number&gt;10686&lt;/rec-number&gt;&lt;foreign-keys&gt;&lt;key app="EN" db-id="d90vsetwrpftsqew0f8pa5d3eepftezf5xpp"&gt;10686&lt;/key&gt;&lt;/foreign-keys&gt;&lt;ref-type name="Book"&gt;6&lt;/ref-type&gt;&lt;contributors&gt;&lt;authors&gt;&lt;author&gt;&lt;style face="normal" font="default" size="100%"&gt;Groves, R.&lt;/style&gt;&lt;/author&gt;&lt;/authors&gt;&lt;/contributors&gt;&lt;titles&gt;&lt;title&gt;&lt;style face="normal" font="default" size="100%"&gt;Survey errors and survey costs&lt;/style&gt;&lt;/title&gt;&lt;/titles&gt;&lt;dates&gt;&lt;year&gt;&lt;style face="normal" font="default" size="100%"&gt;2004&lt;/style&gt;&lt;/year&gt;&lt;/dates&gt;&lt;pub-location&gt;&lt;style face="normal" font="default" size="100%"&gt;New York&lt;/style&gt;&lt;/pub-location&gt;&lt;publisher&gt;&lt;style face="normal" font="default" size="100%"&gt;Wiley&lt;/style&gt;&lt;/publisher&gt;&lt;urls/&gt;&lt;/record&gt;&lt;/Cite&gt;&lt;/EndNote&gt;</w:instrText>
      </w:r>
      <w:r>
        <w:rPr/>
        <w:fldChar w:fldCharType="separate" w:fldLock="0"/>
      </w:r>
      <w:r>
        <w:rPr>
          <w:rtl w:val="0"/>
          <w:lang w:val="en-US"/>
        </w:rPr>
        <w:t>(Groves, 2004; Schober &amp; Conrad, 2006)</w:t>
      </w:r>
      <w:r>
        <w:rPr/>
        <w:fldChar w:fldCharType="end" w:fldLock="0"/>
      </w:r>
      <w:r>
        <w:rPr>
          <w:rStyle w:val="Default Paragraph Font.0"/>
          <w:rtl w:val="0"/>
          <w:lang w:val="en-US"/>
        </w:rPr>
        <w:t xml:space="preserve"> when they are producing the disagreement signal well or its equivalent in French (bien), Hungarian (h</w:t>
      </w:r>
      <w:r>
        <w:rPr>
          <w:rStyle w:val="Default Paragraph Font.0"/>
          <w:rtl w:val="0"/>
          <w:lang w:val="en-US"/>
        </w:rPr>
        <w:t>á</w:t>
      </w:r>
      <w:r>
        <w:rPr>
          <w:rStyle w:val="Default Paragraph Font.0"/>
          <w:rtl w:val="0"/>
          <w:lang w:val="en-US"/>
        </w:rPr>
        <w:t>t), German (ja, na ja) or Spanish (pu</w:t>
      </w:r>
      <w:r>
        <w:rPr>
          <w:rStyle w:val="Default Paragraph Font.0"/>
          <w:rtl w:val="0"/>
          <w:lang w:val="en-US"/>
        </w:rPr>
        <w:t>é</w:t>
      </w:r>
      <w:r>
        <w:rPr>
          <w:rStyle w:val="Default Paragraph Font.0"/>
          <w:rtl w:val="0"/>
          <w:lang w:val="en-US"/>
        </w:rPr>
        <w:t xml:space="preserve">s). </w:t>
      </w:r>
    </w:p>
    <w:p>
      <w:pPr>
        <w:pStyle w:val="Normal.0"/>
        <w:numPr>
          <w:ilvl w:val="0"/>
          <w:numId w:val="10"/>
        </w:numPr>
        <w:rPr>
          <w:rStyle w:val="Default Paragraph Font.0"/>
          <w:sz w:val="20"/>
          <w:szCs w:val="20"/>
          <w:lang w:val="en-US"/>
        </w:rPr>
      </w:pPr>
      <w:r>
        <w:rPr>
          <w:rStyle w:val="Default Paragraph Font.0"/>
          <w:rtl w:val="0"/>
          <w:lang w:val="en-US"/>
        </w:rPr>
        <w:t xml:space="preserve">Link ComNet data to ALFRED (alfred.med.yale.edu) to locate possible genetic markers for indigenous groups whose languages lack recursive syntactic devices </w:t>
      </w:r>
      <w:r>
        <w:rPr/>
        <w:fldChar w:fldCharType="begin" w:fldLock="0"/>
      </w:r>
      <w:r>
        <w:instrText xml:space="preserve"> ADDIN EN.CITE &lt;EndNote&gt;&lt;Cite  &gt;&lt;Author&gt;Hauser, M.&lt;/Author&gt;&lt;Year&gt;2002&lt;/Year&gt;&lt;RecNum&gt;9733&lt;/RecNum&gt;&lt;DisplayText&gt;(Everett, 2007; Hauser, Chomsky, &amp; Fitch, 2002)&lt;/DisplayText&gt;&lt;record&gt;&lt;database name="allrefs.enl" path="/Files/EndNote/allrefs.enl"&gt;allrefs.enl&lt;/database&gt;&lt;source-app name="EndNote" version="14.0"&gt;EndNote&lt;/source-app&gt;&lt;rec-number&gt;9733&lt;/rec-number&gt;&lt;foreign-keys&gt;&lt;key app="EN" db-id="d90vsetwrpftsqew0f8pa5d3eepftezf5xpp"&gt;9733&lt;/key&gt;&lt;/foreign-keys&gt;&lt;ref-type name="Journal Article"&gt;17&lt;/ref-type&gt;&lt;contributors&gt;&lt;authors&gt;&lt;author&gt;&lt;style face="normal" font="default" size="100%"&gt;Hauser, M.&lt;/style&gt;&lt;/author&gt;&lt;author&gt;&lt;style face="normal" font="default" size="100%"&gt;Chomsky, N.&lt;/style&gt;&lt;/author&gt;&lt;author&gt;&lt;style face="normal" font="default" size="100%"&gt;Fitch, T.&lt;/style&gt;&lt;/author&gt;&lt;/authors&gt;&lt;/contributors&gt;&lt;titles&gt;&lt;title&gt;&lt;style face="normal" font="default" size="100%"&gt;The faculty of language: What is it, who has it, and how did it evolve?&lt;/style&gt;&lt;/title&gt;&lt;secondary-title&gt;&lt;style face="normal" font="default" size="100%"&gt;Science&lt;/style&gt;&lt;/secondary-title&gt;&lt;/titles&gt;&lt;periodical&gt;&lt;full-title&gt;&lt;style face="normal" font="default" size="100%"&gt;Science&lt;/style&gt;&lt;/full-title&gt;&lt;/periodical&gt;&lt;pages&gt;&lt;style face="normal" font="default" size="100%"&gt;1569-1579&lt;/style&gt;&lt;/pages&gt;&lt;volume&gt;&lt;style face="normal" font="default" size="100%"&gt;298&lt;/style&gt;&lt;/volume&gt;&lt;dates&gt;&lt;year&gt;&lt;style face="normal" font="default" size="100%"&gt;2002&lt;/style&gt;&lt;/year&gt;&lt;/dates&gt;&lt;urls/&gt;&lt;/record&gt;&lt;/Cite&gt;&lt;Cite  &gt;&lt;record&gt;&lt;database name="allrefs.enl" path="/Files/EndNote/allrefs.enl"&gt;allrefs.enl&lt;/database&gt;&lt;source-app name="EndNote" version="14.0"&gt;EndNote&lt;/source-app&gt;&lt;rec-number&gt;10682&lt;/rec-number&gt;&lt;foreign-keys&gt;&lt;key app="EN" db-id="d90vsetwrpftsqew0f8pa5d3eepftezf5xpp"&gt;10682&lt;/key&gt;&lt;/foreign-keys&gt;&lt;ref-type name="Journal Article"&gt;17&lt;/ref-type&gt;&lt;contributors&gt;&lt;authors&gt;&lt;author&gt;&lt;style face="normal" font="default" size="100%"&gt;Everett, D.&lt;/style&gt;&lt;/author&gt;&lt;/authors&gt;&lt;/contributors&gt;&lt;titles&gt;&lt;title&gt;&lt;style face="normal" font="default" size="100%"&gt;Challenging Chomskyan linguistics: the case of Pirahã&lt;/style&gt;&lt;/title&gt;&lt;secondary-title&gt;&lt;style face="normal" font="default" size="100%"&gt;Human Development&lt;/style&gt;&lt;/secondary-title&gt;&lt;/titles&gt;&lt;periodical&gt;&lt;full-title&gt;&lt;style face="normal" font="default" size="100%"&gt;Human Development&lt;/style&gt;&lt;/full-title&gt;&lt;/periodical&gt;&lt;pages&gt;&lt;style face="normal" font="default" size="100%"&gt;297-299&lt;/style&gt;&lt;/pages&gt;&lt;volume&gt;&lt;style face="normal" font="default" size="100%"&gt;50&lt;/style&gt;&lt;/volume&gt;&lt;dates&gt;&lt;year&gt;&lt;style face="normal" font="default" size="100%"&gt;2007&lt;/style&gt;&lt;/year&gt;&lt;/dates&gt;&lt;urls/&gt;&lt;/record&gt;&lt;/Cite&gt;&lt;/EndNote&gt;</w:instrText>
      </w:r>
      <w:r>
        <w:rPr/>
        <w:fldChar w:fldCharType="separate" w:fldLock="0"/>
      </w:r>
      <w:r>
        <w:rPr>
          <w:rtl w:val="0"/>
          <w:lang w:val="en-US"/>
        </w:rPr>
        <w:t>(Everett, 2007; Hauser, Chomsky, &amp; Fitch, 2002)</w:t>
      </w:r>
      <w:r>
        <w:rPr/>
        <w:fldChar w:fldCharType="end" w:fldLock="0"/>
      </w:r>
      <w:r>
        <w:rPr>
          <w:rStyle w:val="Default Paragraph Font.0"/>
          <w:rtl w:val="0"/>
          <w:lang w:val="en-US"/>
        </w:rPr>
        <w:t>.</w:t>
      </w:r>
    </w:p>
    <w:p>
      <w:pPr>
        <w:pStyle w:val="Normal.0"/>
        <w:numPr>
          <w:ilvl w:val="0"/>
          <w:numId w:val="10"/>
        </w:numPr>
        <w:rPr>
          <w:rStyle w:val="Default Paragraph Font.0"/>
          <w:sz w:val="20"/>
          <w:szCs w:val="20"/>
          <w:lang w:val="en-US"/>
        </w:rPr>
      </w:pPr>
      <w:r>
        <w:rPr>
          <w:rStyle w:val="Default Paragraph Font.0"/>
          <w:rtl w:val="0"/>
          <w:lang w:val="en-US"/>
        </w:rPr>
        <w:t xml:space="preserve">Extend the method of Mitchell et al. </w:t>
      </w:r>
      <w:r>
        <w:rPr/>
        <w:fldChar w:fldCharType="begin" w:fldLock="0"/>
      </w:r>
      <w:r>
        <w:instrText xml:space="preserve"> ADDIN EN.CITE &lt;EndNote&gt;&lt;Cite  &gt;&lt;Author&gt;Mitchell, T. M.&lt;/Author&gt;&lt;Year&gt;2008&lt;/Year&gt;&lt;RecNum&gt;10696&lt;/RecNum&gt;&lt;DisplayText&gt;(Mitchell et al., 2008)&lt;/DisplayText&gt;&lt;record&gt;&lt;database name="allrefs.enl" path="/Files/EndNote/allrefs.enl"&gt;allrefs.enl&lt;/database&gt;&lt;source-app name="EndNote" version="14.0"&gt;EndNote&lt;/source-app&gt;&lt;rec-number&gt;10696&lt;/rec-number&gt;&lt;foreign-keys&gt;&lt;key app="EN" db-id="d90vsetwrpftsqew0f8pa5d3eepftezf5xpp"&gt;10696&lt;/key&gt;&lt;/foreign-keys&gt;&lt;ref-type name="Journal Article"&gt;17&lt;/ref-type&gt;&lt;contributors&gt;&lt;authors&gt;&lt;author&gt;&lt;style face="normal" font="default" size="100%"&gt;Mitchell, T. M.&lt;/style&gt;&lt;/author&gt;&lt;author&gt;&lt;style face="normal" font="default" size="100%"&gt;Shinkareva, S. V.&lt;/style&gt;&lt;/author&gt;&lt;author&gt;&lt;style face="normal" font="default" size="100%"&gt;Carlson, A.&lt;/style&gt;&lt;/author&gt;&lt;author&gt;&lt;style face="normal" font="default" size="100%"&gt;Chang, K-M.&lt;/style&gt;&lt;/author&gt;&lt;author&gt;&lt;style face="normal" font="default" size="100%"&gt;Malave, V. L.&lt;/style&gt;&lt;/author&gt;&lt;author&gt;&lt;style face="normal" font="default" size="100%"&gt;Mason, R. A.&lt;/style&gt;&lt;/author&gt;&lt;author&gt;&lt;style face="normal" font="default" size="100%"&gt;Just, M.&lt;/style&gt;&lt;/author&gt;&lt;/authors&gt;&lt;/contributors&gt;&lt;titles&gt;&lt;title&gt;&lt;style face="normal" font="default" size="100%"&gt;Predicting human brain activity associated with the meanings of nouns&lt;/style&gt;&lt;/title&gt;&lt;secondary-title&gt;&lt;style face="normal" font="default" size="100%"&gt;Science&lt;/style&gt;&lt;/secondary-title&gt;&lt;/titles&gt;&lt;periodical&gt;&lt;full-title&gt;&lt;style face="normal" font="default" size="100%"&gt;Science&lt;/style&gt;&lt;/full-title&gt;&lt;/periodical&gt;&lt;pages&gt;&lt;style face="normal" font="default" size="100%"&gt;1191-1195&lt;/style&gt;&lt;/pages&gt;&lt;volume&gt;&lt;style face="normal" font="default" size="100%"&gt;320&lt;/style&gt;&lt;/volume&gt;&lt;dates&gt;&lt;year&gt;&lt;style face="normal" font="default" size="100%"&gt;2008&lt;/style&gt;&lt;/year&gt;&lt;/dates&gt;&lt;urls/&gt;&lt;/record&gt;&lt;/Cite&gt;&lt;/EndNote&gt;</w:instrText>
      </w:r>
      <w:r>
        <w:rPr/>
        <w:fldChar w:fldCharType="separate" w:fldLock="0"/>
      </w:r>
      <w:r>
        <w:rPr>
          <w:rtl w:val="0"/>
          <w:lang w:val="en-US"/>
        </w:rPr>
        <w:t>(Mitchell et al., 2008)</w:t>
      </w:r>
      <w:r>
        <w:rPr/>
        <w:fldChar w:fldCharType="end" w:fldLock="0"/>
      </w:r>
      <w:r>
        <w:rPr>
          <w:rStyle w:val="Default Paragraph Font.0"/>
          <w:rtl w:val="0"/>
          <w:lang w:val="en-US"/>
        </w:rPr>
        <w:t xml:space="preserve"> that predicts fMRI brain activity from the meaning of nouns to the prediction of brain activity from the reading of types of passages. Extend this method across languages.</w:t>
      </w:r>
    </w:p>
    <w:p>
      <w:pPr>
        <w:pStyle w:val="Normal.0"/>
        <w:numPr>
          <w:ilvl w:val="0"/>
          <w:numId w:val="10"/>
        </w:numPr>
        <w:rPr>
          <w:rStyle w:val="Default Paragraph Font.0"/>
          <w:sz w:val="20"/>
          <w:szCs w:val="20"/>
          <w:lang w:val="en-US"/>
        </w:rPr>
      </w:pPr>
      <w:r>
        <w:rPr>
          <w:rStyle w:val="Default Paragraph Font.0"/>
          <w:rtl w:val="0"/>
          <w:lang w:val="en-US"/>
        </w:rPr>
        <w:t xml:space="preserve">Create a concordance of terms referring to sustainable energy generation across European and Japanese parliamentary debates and output a set of audio files including the sentences with these references. These materials will support a wider comparison of differences in national energy policies </w:t>
      </w:r>
      <w:r>
        <w:rPr/>
        <w:fldChar w:fldCharType="begin" w:fldLock="0"/>
      </w:r>
      <w:r>
        <w:instrText xml:space="preserve"> ADDIN EN.CITE &lt;EndNote&gt;&lt;Cite  &gt;&lt;Author&gt;Jacobsson, S.&lt;/Author&gt;&lt;Year&gt;2004&lt;/Year&gt;&lt;RecNum&gt;10677&lt;/RecNum&gt;&lt;DisplayText&gt;(Jacobsson &amp; Bergek, 2004)&lt;/DisplayText&gt;&lt;record&gt;&lt;database name="allrefs.enl" path="/Files/EndNote/allrefs.enl"&gt;allrefs.enl&lt;/database&gt;&lt;source-app name="EndNote" version="14.0"&gt;EndNote&lt;/source-app&gt;&lt;rec-number&gt;10677&lt;/rec-number&gt;&lt;foreign-keys&gt;&lt;key app="EN" db-id="d90vsetwrpftsqew0f8pa5d3eepftezf5xpp"&gt;10677&lt;/key&gt;&lt;/foreign-keys&gt;&lt;ref-type name="Journal Article"&gt;17&lt;/ref-type&gt;&lt;contributors&gt;&lt;authors&gt;&lt;author&gt;&lt;style face="normal" font="default" size="100%"&gt;Jacobsson, S.&lt;/style&gt;&lt;/author&gt;&lt;author&gt;&lt;style face="normal" font="default" size="100%"&gt;Bergek, A.&lt;/style&gt;&lt;/author&gt;&lt;/authors&gt;&lt;/contributors&gt;&lt;titles&gt;&lt;title&gt;&lt;style face="normal" font="default" size="100%"&gt;Transforming the energy sector: the evolution of technological systems in renewable energy technology&lt;/style&gt;&lt;/title&gt;&lt;secondary-title&gt;&lt;style face="normal" font="default" size="100%"&gt;Industrial and Corporate Change&lt;/style&gt;&lt;/secondary-title&gt;&lt;/titles&gt;&lt;periodical&gt;&lt;full-title&gt;&lt;style face="normal" font="default" size="100%"&gt;Industrial and Corporate Change&lt;/style&gt;&lt;/full-title&gt;&lt;/periodical&gt;&lt;pages&gt;&lt;style face="normal" font="default" size="100%"&gt;815-849&lt;/style&gt;&lt;/pages&gt;&lt;volume&gt;&lt;style face="normal" font="default" size="100%"&gt;13&lt;/style&gt;&lt;/volume&gt;&lt;dates&gt;&lt;year&gt;&lt;style face="normal" font="default" size="100%"&gt;2004&lt;/style&gt;&lt;/year&gt;&lt;/dates&gt;&lt;urls/&gt;&lt;/record&gt;&lt;/Cite&gt;&lt;/EndNote&gt;</w:instrText>
      </w:r>
      <w:r>
        <w:rPr/>
        <w:fldChar w:fldCharType="separate" w:fldLock="0"/>
      </w:r>
      <w:r>
        <w:rPr>
          <w:rtl w:val="0"/>
          <w:lang w:val="en-US"/>
        </w:rPr>
        <w:t>(Jacobsson &amp; Bergek, 2004)</w:t>
      </w:r>
      <w:r>
        <w:rPr/>
        <w:fldChar w:fldCharType="end" w:fldLock="0"/>
      </w:r>
      <w:r>
        <w:rPr>
          <w:rStyle w:val="Default Paragraph Font.0"/>
          <w:rtl w:val="0"/>
          <w:lang w:val="en-US"/>
        </w:rPr>
        <w:t>.</w:t>
      </w:r>
    </w:p>
    <w:p>
      <w:pPr>
        <w:pStyle w:val="Normal.0"/>
        <w:numPr>
          <w:ilvl w:val="0"/>
          <w:numId w:val="10"/>
        </w:numPr>
        <w:rPr>
          <w:rStyle w:val="Default Paragraph Font.0"/>
          <w:sz w:val="20"/>
          <w:szCs w:val="20"/>
          <w:lang w:val="en-US"/>
        </w:rPr>
      </w:pPr>
      <w:r>
        <w:rPr>
          <w:rStyle w:val="Default Paragraph Font.0"/>
          <w:rtl w:val="0"/>
          <w:lang w:val="en-US"/>
        </w:rPr>
        <w:t xml:space="preserve">Study the ways in which Supreme Court justices signal their intentions to vote on a given case to other justices </w:t>
      </w:r>
      <w:r>
        <w:rPr/>
        <w:fldChar w:fldCharType="begin" w:fldLock="0"/>
      </w:r>
      <w:r>
        <w:instrText xml:space="preserve"> ADDIN EN.CITE &lt;EndNote&gt;&lt;Cite  &gt;&lt;Author&gt;Johnson, T.&lt;/Author&gt;&lt;Year&gt;2004&lt;/Year&gt;&lt;RecNum&gt;10680&lt;/RecNum&gt;&lt;DisplayText&gt;(Johnson, 2004)&lt;/DisplayText&gt;&lt;record&gt;&lt;database name="allrefs.enl" path="/Files/EndNote/allrefs.enl"&gt;allrefs.enl&lt;/database&gt;&lt;source-app name="EndNote" version="14.0"&gt;EndNote&lt;/source-app&gt;&lt;rec-number&gt;10680&lt;/rec-number&gt;&lt;foreign-keys&gt;&lt;key app="EN" db-id="d90vsetwrpftsqew0f8pa5d3eepftezf5xpp"&gt;10680&lt;/key&gt;&lt;/foreign-keys&gt;&lt;ref-type name="Book"&gt;6&lt;/ref-type&gt;&lt;contributors&gt;&lt;authors&gt;&lt;author&gt;&lt;style face="normal" font="default" size="100%"&gt;Johnson, T.&lt;/style&gt;&lt;/author&gt;&lt;/authors&gt;&lt;/contributors&gt;&lt;titles&gt;&lt;title&gt;&lt;style face="normal" font="default" size="100%"&gt;Oral arguments and decision making on the United States Supreme Court&lt;/style&gt;&lt;/title&gt;&lt;/titles&gt;&lt;dates&gt;&lt;year&gt;&lt;style face="normal" font="default" size="100%"&gt;2004&lt;/style&gt;&lt;/year&gt;&lt;/dates&gt;&lt;pub-location&gt;&lt;style face="normal" font="default" size="100%"&gt;New York&lt;/style&gt;&lt;/pub-location&gt;&lt;publisher&gt;&lt;style face="normal" font="default" size="100%"&gt;SUNY Press&lt;/style&gt;&lt;/publisher&gt;&lt;urls/&gt;&lt;/record&gt;&lt;/Cite&gt;&lt;/EndNote&gt;</w:instrText>
      </w:r>
      <w:r>
        <w:rPr/>
        <w:fldChar w:fldCharType="separate" w:fldLock="0"/>
      </w:r>
      <w:r>
        <w:rPr>
          <w:rtl w:val="0"/>
          <w:lang w:val="en-US"/>
        </w:rPr>
        <w:t>(Johnson, 2004)</w:t>
      </w:r>
      <w:r>
        <w:rPr/>
        <w:fldChar w:fldCharType="end" w:fldLock="0"/>
      </w:r>
      <w:r>
        <w:rPr>
          <w:rStyle w:val="Default Paragraph Font.0"/>
          <w:rtl w:val="0"/>
          <w:lang w:val="en-US"/>
        </w:rPr>
        <w:t xml:space="preserve"> during the years 1957 and 2008. Link these signals to cognitive analyses </w:t>
      </w:r>
      <w:r>
        <w:rPr/>
        <w:fldChar w:fldCharType="begin" w:fldLock="0"/>
      </w:r>
      <w:r>
        <w:instrText xml:space="preserve"> ADDIN EN.CITE &lt;EndNote&gt;&lt;Cite  &gt;&lt;Author&gt;Ashley, K.&lt;/Author&gt;&lt;Year&gt;1991&lt;/Year&gt;&lt;RecNum&gt;10678&lt;/RecNum&gt;&lt;DisplayText&gt;(Ashley, 1991)&lt;/DisplayText&gt;&lt;record&gt;&lt;database name="allrefs.enl" path="/Files/EndNote/allrefs.enl"&gt;allrefs.enl&lt;/database&gt;&lt;source-app name="EndNote" version="14.0"&gt;EndNote&lt;/source-app&gt;&lt;rec-number&gt;10678&lt;/rec-number&gt;&lt;foreign-keys&gt;&lt;key app="EN" db-id="d90vsetwrpftsqew0f8pa5d3eepftezf5xpp"&gt;10678&lt;/key&gt;&lt;/foreign-keys&gt;&lt;ref-type name="Book"&gt;6&lt;/ref-type&gt;&lt;contributors&gt;&lt;authors&gt;&lt;author&gt;&lt;style face="normal" font="default" size="100%"&gt;Ashley, K.&lt;/style&gt;&lt;/author&gt;&lt;/authors&gt;&lt;/contributors&gt;&lt;titles&gt;&lt;title&gt;&lt;style face="normal" font="default" size="100%"&gt;Modeling legal arguments&lt;/style&gt;&lt;/title&gt;&lt;/titles&gt;&lt;dates&gt;&lt;year&gt;&lt;style face="normal" font="default" size="100%"&gt;1991&lt;/style&gt;&lt;/year&gt;&lt;/dates&gt;&lt;pub-location&gt;&lt;style face="normal" font="default" size="100%"&gt;Cambridge, MA&lt;/style&gt;&lt;/pub-location&gt;&lt;publisher&gt;&lt;style face="normal" font="default" size="100%"&gt;M.I.T. Press&lt;/style&gt;&lt;/publisher&gt;&lt;urls/&gt;&lt;/record&gt;&lt;/Cite&gt;&lt;/EndNote&gt;</w:instrText>
      </w:r>
      <w:r>
        <w:rPr/>
        <w:fldChar w:fldCharType="separate" w:fldLock="0"/>
      </w:r>
      <w:r>
        <w:rPr>
          <w:rtl w:val="0"/>
          <w:lang w:val="en-US"/>
        </w:rPr>
        <w:t>(Ashley, 1991)</w:t>
      </w:r>
      <w:r>
        <w:rPr/>
        <w:fldChar w:fldCharType="end" w:fldLock="0"/>
      </w:r>
      <w:r>
        <w:rPr>
          <w:rStyle w:val="Default Paragraph Font.0"/>
          <w:rtl w:val="0"/>
          <w:lang w:val="en-US"/>
        </w:rPr>
        <w:t>.</w:t>
      </w:r>
    </w:p>
    <w:p>
      <w:pPr>
        <w:pStyle w:val="Normal.0"/>
        <w:numPr>
          <w:ilvl w:val="0"/>
          <w:numId w:val="10"/>
        </w:numPr>
        <w:rPr>
          <w:rStyle w:val="Default Paragraph Font.0"/>
          <w:sz w:val="20"/>
          <w:szCs w:val="20"/>
          <w:lang w:val="en-US"/>
        </w:rPr>
      </w:pPr>
      <w:r>
        <w:rPr>
          <w:rStyle w:val="Default Paragraph Font.0"/>
          <w:rtl w:val="0"/>
          <w:lang w:val="en-US"/>
        </w:rPr>
        <w:t xml:space="preserve">Study the way bias and perspectives are expressed in social media web artifacts such as blogs or Youtube </w:t>
      </w:r>
      <w:r>
        <w:rPr/>
        <w:fldChar w:fldCharType="begin" w:fldLock="0"/>
      </w:r>
      <w:r>
        <w:instrText xml:space="preserve"> ADDIN EN.CITE &lt;EndNote&gt;&lt;Cite  &gt;&lt;Author&gt;Lin, W.-H.&lt;/Author&gt;&lt;Year&gt;2008&lt;/Year&gt;&lt;RecNum&gt;10815&lt;/RecNum&gt;&lt;DisplayText&gt;(Lin &amp; Hauptmann, 2008)&lt;/DisplayText&gt;&lt;record&gt;&lt;database name="allrefs.enl" path="/Files/EndNote/allrefs.enl"&gt;allrefs.enl&lt;/database&gt;&lt;source-app name="EndNote" version="14.0"&gt;EndNote&lt;/source-app&gt;&lt;rec-number&gt;10815&lt;/rec-number&gt;&lt;foreign-keys&gt;&lt;key app="EN" db-id="d90vsetwrpftsqew0f8pa5d3eepftezf5xpp"&gt;10815&lt;/key&gt;&lt;/foreign-keys&gt;&lt;ref-type name="Conference Paper"&gt;47&lt;/ref-type&gt;&lt;contributors&gt;&lt;authors&gt;&lt;author&gt;&lt;style face="normal" font="default" size="100%"&gt;Lin, W.-H.&lt;/style&gt;&lt;/author&gt;&lt;author&gt;&lt;style face="normal" font="default" size="100%"&gt;Hauptmann, A.&lt;/style&gt;&lt;/author&gt;&lt;/authors&gt;&lt;/contributors&gt;&lt;titles&gt;&lt;title&gt;&lt;style face="normal" font="default" size="100%"&gt;Identifying ideological perspectives of web videos using patterns emerging from folksonomies&lt;/style&gt;&lt;/title&gt;&lt;secondary-title&gt;&lt;style face="normal" font="default" size="100%"&gt;Wikis, Blogs, Bookmarking Tools - Mining the Web 2.0 (WBBTMine)&lt;/style&gt;&lt;/secondary-title&gt;&lt;/titles&gt;&lt;dates&gt;&lt;year&gt;&lt;style face="normal" font="default" size="100%"&gt;2008&lt;/style&gt;&lt;/year&gt;&lt;/dates&gt;&lt;pub-location&gt;&lt;style face="normal" font="default" size="100%"&gt;Antwerp&lt;/style&gt;&lt;/pub-location&gt;&lt;publisher&gt;&lt;style face="normal" font="default" size="100%"&gt;ECML/PKDD&lt;/style&gt;&lt;/publisher&gt;&lt;urls/&gt;&lt;/record&gt;&lt;/Cite&gt;&lt;/EndNote&gt;</w:instrText>
      </w:r>
      <w:r>
        <w:rPr/>
        <w:fldChar w:fldCharType="separate" w:fldLock="0"/>
      </w:r>
      <w:r>
        <w:rPr>
          <w:rtl w:val="0"/>
          <w:lang w:val="en-US"/>
        </w:rPr>
        <w:t>(Lin &amp; Hauptmann, 2008)</w:t>
      </w:r>
      <w:r>
        <w:rPr/>
        <w:fldChar w:fldCharType="end" w:fldLock="0"/>
      </w:r>
      <w:r>
        <w:rPr>
          <w:rStyle w:val="Default Paragraph Font.0"/>
          <w:rtl w:val="0"/>
          <w:lang w:val="en-US"/>
        </w:rPr>
        <w:t>.</w:t>
      </w:r>
    </w:p>
    <w:p>
      <w:pPr>
        <w:pStyle w:val="Normal.0"/>
        <w:ind w:firstLine="0"/>
        <w:rPr>
          <w:rStyle w:val="Default Paragraph Font.0"/>
        </w:rPr>
      </w:pPr>
      <w:r>
        <w:rPr>
          <w:rStyle w:val="Default Paragraph Font.0"/>
          <w:rtl w:val="0"/>
          <w:lang w:val="en-US"/>
        </w:rPr>
        <w:t xml:space="preserve">These are sample illustrations taken from a much larger space. Focusing just on the one field of child language, MacWhinney </w:t>
      </w:r>
      <w:r>
        <w:rPr/>
        <w:fldChar w:fldCharType="begin" w:fldLock="0"/>
      </w:r>
      <w:r>
        <w:instrText xml:space="preserve"> ADDIN EN.CITE &lt;EndNote&gt;&lt;Cite ExcludeAuth="1" &gt;&lt;Author&gt;MacWhinney, B.&lt;/Author&gt;&lt;Year&gt;2008&lt;/Year&gt;&lt;RecNum&gt;10351&lt;/RecNum&gt;&lt;DisplayText&gt;(2008b)&lt;/DisplayText&gt;&lt;record&gt;&lt;database name="allrefs.enl" path="/Files/EndNote/allrefs.enl"&gt;allrefs.enl&lt;/database&gt;&lt;source-app name="EndNote" version="14.0"&gt;EndNote&lt;/source-app&gt;&lt;rec-number&gt;10351&lt;/rec-number&gt;&lt;foreign-keys&gt;&lt;key app="EN" db-id="d90vsetwrpftsqew0f8pa5d3eepftezf5xpp"&gt;10351&lt;/key&gt;&lt;/foreign-keys&gt;&lt;ref-type name="Book Section"&gt;5&lt;/ref-type&gt;&lt;contributors&gt;&lt;authors&gt;&lt;author&gt;&lt;style face="normal" font="default" size="100%"&gt;MacWhinney, B.&lt;/style&gt;&lt;/author&gt;&lt;/authors&gt;&lt;secondary-authors&gt;&lt;author&gt;&lt;style face="normal" font="default" size="100%"&gt;Behrens, H.&lt;/style&gt;&lt;/author&gt;&lt;/secondary-authors&gt;&lt;/contributors&gt;&lt;titles&gt;&lt;title&gt;&lt;style face="normal" font="default" size="100%"&gt;Enriching CHILDES for morphosyntactic analysis&lt;/style&gt;&lt;/title&gt;&lt;secondary-title&gt;&lt;style face="normal" font="default" size="100%"&gt;Trends in corpus research: Finding structure in data&lt;/style&gt;&lt;/secondary-title&gt;&lt;/titles&gt;&lt;pages&gt;&lt;style face="normal" font="default" size="100%"&gt;165-198&lt;/style&gt;&lt;/pages&gt;&lt;dates&gt;&lt;year&gt;&lt;style face="normal" font="default" size="100%"&gt;2008&lt;/style&gt;&lt;/year&gt;&lt;/dates&gt;&lt;pub-location&gt;&lt;style face="normal" font="default" size="100%"&gt;Amsterdam&lt;/style&gt;&lt;/pub-location&gt;&lt;publisher&gt;&lt;style face="normal" font="default" size="100%"&gt;John Benjamins&lt;/style&gt;&lt;/publisher&gt;&lt;urls/&gt;&lt;/record&gt;&lt;/Cite&gt;&lt;/EndNote&gt;</w:instrText>
      </w:r>
      <w:r>
        <w:rPr/>
        <w:fldChar w:fldCharType="separate" w:fldLock="0"/>
      </w:r>
      <w:r>
        <w:rPr>
          <w:rtl w:val="0"/>
          <w:lang w:val="en-US"/>
        </w:rPr>
        <w:t>(2008b)</w:t>
      </w:r>
      <w:r>
        <w:rPr/>
        <w:fldChar w:fldCharType="end" w:fldLock="0"/>
      </w:r>
      <w:r>
        <w:rPr>
          <w:rStyle w:val="Default Paragraph Font.0"/>
          <w:rtl w:val="0"/>
          <w:lang w:val="en-US"/>
        </w:rPr>
        <w:t xml:space="preserve"> lists 50 such research theme types and the wider literature demonstrates the importance of at least 100 more. When we look at other fields, we find a similar diversity. In each field, however, the barriers to analysis are the same. Absence of published metadata makes it difficult to find, group, select, integrate and analyze appropriate data. Moreover, once located, there are often the barriers of Licensing and Format Babel. By lowering these barriers, ComNet will allow researchers to ask questions in ways that are currently impossible. By allowing researchers to address these new issues, ComNet will enable a transformation in the study of human communication.</w:t>
      </w:r>
    </w:p>
    <w:p>
      <w:pPr>
        <w:pStyle w:val="Heading 2"/>
        <w:numPr>
          <w:ilvl w:val="1"/>
          <w:numId w:val="1"/>
        </w:numPr>
        <w:bidi w:val="0"/>
        <w:rPr>
          <w:rStyle w:val="Default Paragraph Font.0"/>
          <w:sz w:val="20"/>
          <w:szCs w:val="20"/>
        </w:rPr>
      </w:pPr>
      <w:r>
        <w:rPr>
          <w:rStyle w:val="Default Paragraph Font.0"/>
          <w:rtl w:val="0"/>
          <w:lang w:val="it-IT"/>
        </w:rPr>
        <w:t>Data Curation</w:t>
      </w:r>
    </w:p>
    <w:p>
      <w:pPr>
        <w:pStyle w:val="Normal.0"/>
        <w:bidi w:val="0"/>
        <w:rPr>
          <w:rStyle w:val="Default Paragraph Font.0"/>
        </w:rPr>
      </w:pPr>
      <w:r>
        <w:rPr>
          <w:rStyle w:val="Default Paragraph Font.0"/>
          <w:rtl w:val="0"/>
        </w:rPr>
        <w:t xml:space="preserve">The construction of a system as extensive as ComNet requires careful attention to the curation of data through: privacy protection, provenance and copyright protection, data validation, organization, metadata generation, and documentation. </w:t>
      </w:r>
    </w:p>
    <w:p>
      <w:pPr>
        <w:pStyle w:val="Normal.0"/>
        <w:ind w:firstLine="0"/>
        <w:rPr>
          <w:rStyle w:val="Default Paragraph Font.0"/>
          <w:b w:val="1"/>
          <w:bCs w:val="1"/>
        </w:rPr>
      </w:pPr>
    </w:p>
    <w:p>
      <w:pPr>
        <w:pStyle w:val="Normal.0"/>
        <w:bidi w:val="0"/>
        <w:rPr>
          <w:rStyle w:val="Default Paragraph Font.0"/>
        </w:rPr>
      </w:pPr>
      <w:r>
        <w:rPr>
          <w:rStyle w:val="Default Paragraph Font.0"/>
          <w:b w:val="1"/>
          <w:bCs w:val="1"/>
          <w:rtl w:val="0"/>
          <w:lang w:val="en-US"/>
        </w:rPr>
        <w:t>Privacy Protection</w:t>
      </w:r>
      <w:r>
        <w:rPr>
          <w:rStyle w:val="Default Paragraph Font.0"/>
          <w:rtl w:val="0"/>
        </w:rPr>
        <w:t>: Over the course of 24 years, TalkBank, CHILDES, and LDC have aggregated the world</w:t>
      </w:r>
      <w:r>
        <w:rPr>
          <w:rStyle w:val="Default Paragraph Font.0"/>
          <w:rtl w:val="0"/>
        </w:rPr>
        <w:t>’</w:t>
      </w:r>
      <w:r>
        <w:rPr>
          <w:rStyle w:val="Default Paragraph Font.0"/>
          <w:rtl w:val="0"/>
        </w:rPr>
        <w:t xml:space="preserve">s largest databases of spoken language materials. The fact that this work has never triggered a violation of privacy regulations is indicative of the attention we have paid to this issue. IRB committees across the country are now using our standards in determining their approach to making spoken language materials available. These policies are available at </w:t>
      </w:r>
      <w:r>
        <w:rPr>
          <w:rStyle w:val="Hyperlink.0"/>
        </w:rPr>
        <w:fldChar w:fldCharType="begin" w:fldLock="0"/>
      </w:r>
      <w:r>
        <w:rPr>
          <w:rStyle w:val="Hyperlink.0"/>
        </w:rPr>
        <w:instrText xml:space="preserve"> HYPERLINK "http://talkbank.org/share"</w:instrText>
      </w:r>
      <w:r>
        <w:rPr>
          <w:rStyle w:val="Hyperlink.0"/>
        </w:rPr>
        <w:fldChar w:fldCharType="separate" w:fldLock="0"/>
      </w:r>
      <w:r>
        <w:rPr>
          <w:rStyle w:val="Hyperlink.0"/>
          <w:rtl w:val="0"/>
        </w:rPr>
        <w:t>http://talkbank.org/share</w:t>
      </w:r>
      <w:r>
        <w:rPr/>
        <w:fldChar w:fldCharType="end" w:fldLock="0"/>
      </w:r>
      <w:r>
        <w:rPr>
          <w:rStyle w:val="Default Paragraph Font.0"/>
          <w:rtl w:val="0"/>
        </w:rPr>
        <w:t xml:space="preserve"> and have gone through repeated cycles of discussion and refinement from communities as diverse as teachers, parents, aphasiologists, computer scientists, lawyers, and patient advocates. Some of the procedures involved include: </w:t>
      </w:r>
    </w:p>
    <w:p>
      <w:pPr>
        <w:pStyle w:val="Normal.0"/>
        <w:numPr>
          <w:ilvl w:val="0"/>
          <w:numId w:val="12"/>
        </w:numPr>
        <w:rPr>
          <w:rStyle w:val="Default Paragraph Font.0"/>
          <w:sz w:val="20"/>
          <w:szCs w:val="20"/>
          <w:lang w:val="en-US"/>
        </w:rPr>
      </w:pPr>
      <w:r>
        <w:rPr>
          <w:rStyle w:val="Default Paragraph Font.0"/>
          <w:rtl w:val="0"/>
          <w:lang w:val="en-US"/>
        </w:rPr>
        <w:t>Online storage of IRB materials and releases from data contributors.</w:t>
      </w:r>
    </w:p>
    <w:p>
      <w:pPr>
        <w:pStyle w:val="Normal.0"/>
        <w:numPr>
          <w:ilvl w:val="0"/>
          <w:numId w:val="12"/>
        </w:numPr>
        <w:rPr>
          <w:rStyle w:val="Default Paragraph Font.0"/>
          <w:sz w:val="20"/>
          <w:szCs w:val="20"/>
          <w:lang w:val="en-US"/>
        </w:rPr>
      </w:pPr>
      <w:r>
        <w:rPr>
          <w:rStyle w:val="Default Paragraph Font.0"/>
          <w:rtl w:val="0"/>
          <w:lang w:val="en-US"/>
        </w:rPr>
        <w:t>Removal and bleeping of last names and addresses.</w:t>
      </w:r>
    </w:p>
    <w:p>
      <w:pPr>
        <w:pStyle w:val="Normal.0"/>
        <w:numPr>
          <w:ilvl w:val="0"/>
          <w:numId w:val="12"/>
        </w:numPr>
        <w:rPr>
          <w:rStyle w:val="Default Paragraph Font.0"/>
          <w:sz w:val="20"/>
          <w:szCs w:val="20"/>
          <w:lang w:val="en-US"/>
        </w:rPr>
      </w:pPr>
      <w:r>
        <w:rPr>
          <w:rStyle w:val="Default Paragraph Font.0"/>
          <w:rtl w:val="0"/>
          <w:lang w:val="en-US"/>
        </w:rPr>
        <w:t>Password and encryption protection of sensitive materials.</w:t>
      </w:r>
    </w:p>
    <w:p>
      <w:pPr>
        <w:pStyle w:val="Normal.0"/>
        <w:numPr>
          <w:ilvl w:val="0"/>
          <w:numId w:val="12"/>
        </w:numPr>
        <w:rPr>
          <w:rStyle w:val="Default Paragraph Font.0"/>
          <w:sz w:val="20"/>
          <w:szCs w:val="20"/>
          <w:lang w:val="en-US"/>
        </w:rPr>
      </w:pPr>
      <w:r>
        <w:rPr>
          <w:rStyle w:val="Default Paragraph Font.0"/>
          <w:rtl w:val="0"/>
          <w:lang w:val="en-US"/>
        </w:rPr>
        <w:t>Repeated checking with contributors and sometimes participants to make sure that the current level of access is in accord with their wishes and those of the participants.</w:t>
      </w:r>
    </w:p>
    <w:p>
      <w:pPr>
        <w:pStyle w:val="Normal.0"/>
        <w:numPr>
          <w:ilvl w:val="0"/>
          <w:numId w:val="12"/>
        </w:numPr>
        <w:rPr>
          <w:rStyle w:val="Default Paragraph Font.0"/>
          <w:sz w:val="20"/>
          <w:szCs w:val="20"/>
          <w:lang w:val="en-US"/>
        </w:rPr>
      </w:pPr>
      <w:r>
        <w:rPr>
          <w:rStyle w:val="Default Paragraph Font.0"/>
          <w:rtl w:val="0"/>
          <w:lang w:val="en-US"/>
        </w:rPr>
        <w:t>Contacting individual children when they become adults to verify that they wish to allow continued access to their data.</w:t>
      </w:r>
    </w:p>
    <w:p>
      <w:pPr>
        <w:pStyle w:val="Normal.0"/>
        <w:numPr>
          <w:ilvl w:val="0"/>
          <w:numId w:val="12"/>
        </w:numPr>
        <w:rPr>
          <w:rStyle w:val="Default Paragraph Font.0"/>
          <w:sz w:val="20"/>
          <w:szCs w:val="20"/>
          <w:lang w:val="en-US"/>
        </w:rPr>
      </w:pPr>
      <w:r>
        <w:rPr>
          <w:rStyle w:val="Default Paragraph Font.0"/>
          <w:rtl w:val="0"/>
          <w:lang w:val="en-US"/>
        </w:rPr>
        <w:t>Targeted de-accessioning from the database of segments or whole transcripts that seem embarrassing or which could lead to identification of the participant.</w:t>
      </w:r>
    </w:p>
    <w:p>
      <w:pPr>
        <w:pStyle w:val="Normal.0"/>
        <w:ind w:firstLine="0"/>
        <w:rPr>
          <w:rStyle w:val="Default Paragraph Font.0"/>
          <w:b w:val="1"/>
          <w:bCs w:val="1"/>
        </w:rPr>
      </w:pPr>
    </w:p>
    <w:p>
      <w:pPr>
        <w:pStyle w:val="Normal.0"/>
        <w:bidi w:val="0"/>
        <w:rPr>
          <w:rStyle w:val="Default Paragraph Font.0"/>
        </w:rPr>
      </w:pPr>
      <w:r>
        <w:rPr>
          <w:rStyle w:val="Default Paragraph Font.0"/>
          <w:b w:val="1"/>
          <w:bCs w:val="1"/>
          <w:rtl w:val="0"/>
          <w:lang w:val="en-US"/>
        </w:rPr>
        <w:t>Provenance and Copyright Protection</w:t>
      </w:r>
      <w:r>
        <w:rPr>
          <w:rStyle w:val="Default Paragraph Font.0"/>
          <w:rtl w:val="0"/>
        </w:rPr>
        <w:t xml:space="preserve">: In addition to issues of confidentiality, ComNet will deal with issues of intellectual property, copyright, provenance, and authenticity. Both LDC and TalkBank publish all of the software we have produced under the GNU Library GPL, or equivalent open source license, and we will continue to do so. We choose the GNU Library GPL because it maintains open access, while protecting use for research. By default, we leave the copyright on corpora with the original holders who have agreed to allow us to make their data accessible. In addition, LDC maintains agreements with each of its users that are compatible with agreements previously negotiated with each provider. For books and video, copyright is negotiated in accord with procedures established by UDL. The UDL includes a collection of pre-1923 historical texts, which are out of copyright. The UDL has already negotiated copyright permission for every publication from the National Academy of Sciences; UDL procedures are documented in a Council on Library and Information Resource monograph </w:t>
      </w:r>
      <w:r>
        <w:rPr/>
        <w:fldChar w:fldCharType="begin" w:fldLock="0"/>
      </w:r>
      <w:r>
        <w:instrText xml:space="preserve"> ADDIN EN.CITE &lt;EndNote&gt;&lt;Cite  &gt;&lt;Author&gt;Troll Covey, D.&lt;/Author&gt;&lt;Year&gt;2002&lt;/Year&gt;&lt;RecNum&gt;10509&lt;/RecNum&gt;&lt;DisplayText&gt;(Troll Covey, 2002)&lt;/DisplayText&gt;&lt;record&gt;&lt;database name="allrefs.enl" path="/Files/EndNote/allrefs.enl"&gt;allrefs.enl&lt;/database&gt;&lt;source-app name="EndNote" version="14.0"&gt;EndNote&lt;/source-app&gt;&lt;rec-number&gt;10509&lt;/rec-number&gt;&lt;foreign-keys&gt;&lt;key app="EN" db-id="d90vsetwrpftsqew0f8pa5d3eepftezf5xpp"&gt;10509&lt;/key&gt;&lt;/foreign-keys&gt;&lt;ref-type name="Book"&gt;6&lt;/ref-type&gt;&lt;contributors&gt;&lt;authors&gt;&lt;author&gt;&lt;style face="normal" font="default" size="100%"&gt;Troll Covey, D.&lt;/style&gt;&lt;/author&gt;&lt;/authors&gt;&lt;/contributors&gt;&lt;titles&gt;&lt;title&gt;&lt;style face="normal" font="default" size="100%"&gt;Usage and usability assessment: Library practices and concerns&lt;/style&gt;&lt;/title&gt;&lt;/titles&gt;&lt;dates&gt;&lt;year&gt;&lt;style face="normal" font="default" size="100%"&gt;2002&lt;/style&gt;&lt;/year&gt;&lt;/dates&gt;&lt;publisher&gt;&lt;style face="normal" font="default" size="100%"&gt;Digital Library Federation&lt;/style&gt;&lt;/publisher&gt;&lt;urls/&gt;&lt;/record&gt;&lt;/Cite&gt;&lt;/EndNote&gt;</w:instrText>
      </w:r>
      <w:r>
        <w:rPr/>
        <w:fldChar w:fldCharType="separate" w:fldLock="0"/>
      </w:r>
      <w:r>
        <w:rPr>
          <w:rtl w:val="0"/>
        </w:rPr>
        <w:t>(Troll Covey, 2002)</w:t>
      </w:r>
      <w:r>
        <w:rPr/>
        <w:fldChar w:fldCharType="end" w:fldLock="0"/>
      </w:r>
      <w:r>
        <w:rPr>
          <w:rStyle w:val="Default Paragraph Font.0"/>
          <w:rtl w:val="0"/>
        </w:rPr>
        <w:t xml:space="preserve">. The provenance </w:t>
      </w:r>
      <w:r>
        <w:rPr/>
        <w:fldChar w:fldCharType="begin" w:fldLock="0"/>
      </w:r>
      <w:r>
        <w:instrText xml:space="preserve"> ADDIN EN.CITE &lt;EndNote&gt;&lt;Cite  &gt;&lt;Author&gt;Abiteboul, S.&lt;/Author&gt;&lt;Year&gt;1999&lt;/Year&gt;&lt;RecNum&gt;8939&lt;/RecNum&gt;&lt;DisplayText&gt;(Abiteboul, Buneman, &amp; Suciu, 1999)&lt;/DisplayText&gt;&lt;record&gt;&lt;database name="allrefs.enl" path="/Files/EndNote/allrefs.enl"&gt;allrefs.enl&lt;/database&gt;&lt;source-app name="EndNote" version="14.0"&gt;EndNote&lt;/source-app&gt;&lt;rec-number&gt;8939&lt;/rec-number&gt;&lt;foreign-keys&gt;&lt;key app="EN" db-id="d90vsetwrpftsqew0f8pa5d3eepftezf5xpp"&gt;8939&lt;/key&gt;&lt;/foreign-keys&gt;&lt;ref-type name="Book"&gt;6&lt;/ref-type&gt;&lt;contributors&gt;&lt;authors&gt;&lt;author&gt;&lt;style face="normal" font="default" size="100%"&gt;Abiteboul, S.&lt;/style&gt;&lt;/author&gt;&lt;author&gt;&lt;style face="normal" font="default" size="100%"&gt;Buneman, P.&lt;/style&gt;&lt;/author&gt;&lt;author&gt;&lt;style face="normal" font="default" size="100%"&gt;Suciu, D.&lt;/style&gt;&lt;/author&gt;&lt;/authors&gt;&lt;/contributors&gt;&lt;titles&gt;&lt;title&gt;&lt;style face="normal" font="default" size="100%"&gt;Data  on the web:  From relations to semistructured data and XML&lt;/style&gt;&lt;/title&gt;&lt;/titles&gt;&lt;keywords&gt;&lt;keyword&gt;&lt;style face="normal" font="default" size="100%"&gt;Annotation Peter&lt;/style&gt;&lt;/keyword&gt;&lt;/keywords&gt;&lt;dates&gt;&lt;year&gt;&lt;style face="normal" font="default" size="100%"&gt;1999&lt;/style&gt;&lt;/year&gt;&lt;/dates&gt;&lt;publisher&gt;&lt;style face="normal" font="default" size="100%"&gt;Morgan Kaufmann&lt;/style&gt;&lt;/publisher&gt;&lt;urls/&gt;&lt;/record&gt;&lt;/Cite&gt;&lt;/EndNote&gt;</w:instrText>
      </w:r>
      <w:r>
        <w:rPr/>
        <w:fldChar w:fldCharType="separate" w:fldLock="0"/>
      </w:r>
      <w:r>
        <w:rPr>
          <w:rtl w:val="0"/>
        </w:rPr>
        <w:t>(Abiteboul, Buneman, &amp; Suciu, 1999)</w:t>
      </w:r>
      <w:r>
        <w:rPr/>
        <w:fldChar w:fldCharType="end" w:fldLock="0"/>
      </w:r>
      <w:r>
        <w:rPr>
          <w:rStyle w:val="Default Paragraph Font.0"/>
          <w:rtl w:val="0"/>
        </w:rPr>
        <w:t xml:space="preserve"> and authenticity of our corpora are assessed at collection time by direct contacts with the contributors.. After that point, the emphasis shifts to validation and change and version tracking through Subversion and change logging.</w:t>
      </w:r>
    </w:p>
    <w:p>
      <w:pPr>
        <w:pStyle w:val="Normal.0"/>
        <w:bidi w:val="0"/>
        <w:rPr>
          <w:rStyle w:val="Default Paragraph Font.0"/>
        </w:rPr>
      </w:pPr>
    </w:p>
    <w:p>
      <w:pPr>
        <w:pStyle w:val="Normal.0"/>
        <w:bidi w:val="0"/>
        <w:rPr>
          <w:rStyle w:val="Default Paragraph Font.0"/>
        </w:rPr>
      </w:pPr>
      <w:r>
        <w:rPr>
          <w:rStyle w:val="Default Paragraph Font.0"/>
          <w:b w:val="1"/>
          <w:bCs w:val="1"/>
          <w:rtl w:val="0"/>
          <w:lang w:val="en-US"/>
        </w:rPr>
        <w:t>Data Validation</w:t>
      </w:r>
      <w:r>
        <w:rPr>
          <w:rStyle w:val="Default Paragraph Font.0"/>
          <w:rtl w:val="0"/>
        </w:rPr>
        <w:t xml:space="preserve">: Both LDC and TalkBank conduct content validation at the time data are ingested.  This process involves checking for transcription accuracy, file correspondence, and metadata entry.  Format validation, which is run automatically by current TalkBank programs, applies at the level of the transcript, the corpus, and metadata. Because the database is structured in XML, it is easy to run tools that validate the adherence of new contributions to the standard Schema. Data must pass through a roundtrip from CHAT to XML and then back to CHAT (the ComNet transcript display format) with no validation errors. For corpora that are linked to media, each media time tag must correspond with a media file correctly stored on the streaming media servers.  All ComNet data must fit exactly into this schema. </w:t>
      </w:r>
    </w:p>
    <w:p>
      <w:pPr>
        <w:pStyle w:val="Normal.0"/>
        <w:ind w:firstLine="0"/>
        <w:rPr>
          <w:rStyle w:val="Default Paragraph Font.0"/>
          <w:b w:val="1"/>
          <w:bCs w:val="1"/>
        </w:rPr>
      </w:pPr>
    </w:p>
    <w:p>
      <w:pPr>
        <w:pStyle w:val="Normal.0"/>
        <w:bidi w:val="0"/>
      </w:pPr>
      <w:r>
        <w:rPr>
          <w:b w:val="1"/>
          <w:bCs w:val="1"/>
          <w:rtl w:val="0"/>
          <w:lang w:val="en-US"/>
        </w:rPr>
        <w:t>Organization</w:t>
      </w:r>
      <w:r>
        <w:rPr>
          <w:rtl w:val="0"/>
        </w:rPr>
        <w:t>: To guarantee proper functioning of the database, all data are encoded within a set of five isomorphic trees for:</w:t>
      </w:r>
    </w:p>
    <w:p>
      <w:pPr>
        <w:pStyle w:val="Normal.0"/>
        <w:numPr>
          <w:ilvl w:val="0"/>
          <w:numId w:val="14"/>
        </w:numPr>
        <w:rPr>
          <w:rStyle w:val="Default Paragraph Font.0"/>
          <w:sz w:val="20"/>
          <w:szCs w:val="20"/>
          <w:lang w:val="en-US"/>
        </w:rPr>
      </w:pPr>
      <w:r>
        <w:rPr>
          <w:rStyle w:val="Default Paragraph Font.0"/>
          <w:rtl w:val="0"/>
          <w:lang w:val="en-US"/>
        </w:rPr>
        <w:t>Raw CHAT data,</w:t>
      </w:r>
    </w:p>
    <w:p>
      <w:pPr>
        <w:pStyle w:val="Normal.0"/>
        <w:numPr>
          <w:ilvl w:val="0"/>
          <w:numId w:val="15"/>
        </w:numPr>
        <w:rPr>
          <w:rStyle w:val="Default Paragraph Font.0"/>
          <w:sz w:val="20"/>
          <w:szCs w:val="20"/>
          <w:lang w:val="en-US"/>
        </w:rPr>
      </w:pPr>
      <w:r>
        <w:rPr>
          <w:rStyle w:val="Default Paragraph Font.0"/>
          <w:rtl w:val="0"/>
          <w:lang w:val="en-US"/>
        </w:rPr>
        <w:t>XML CHAT files,</w:t>
      </w:r>
    </w:p>
    <w:p>
      <w:pPr>
        <w:pStyle w:val="Normal.0"/>
        <w:numPr>
          <w:ilvl w:val="0"/>
          <w:numId w:val="15"/>
        </w:numPr>
        <w:rPr>
          <w:rStyle w:val="Default Paragraph Font.0"/>
          <w:sz w:val="20"/>
          <w:szCs w:val="20"/>
          <w:lang w:val="en-US"/>
        </w:rPr>
      </w:pPr>
      <w:r>
        <w:rPr>
          <w:rStyle w:val="Default Paragraph Font.0"/>
          <w:rtl w:val="0"/>
          <w:lang w:val="en-US"/>
        </w:rPr>
        <w:t>Media matching the transcripts,</w:t>
      </w:r>
    </w:p>
    <w:p>
      <w:pPr>
        <w:pStyle w:val="Normal.0"/>
        <w:numPr>
          <w:ilvl w:val="0"/>
          <w:numId w:val="15"/>
        </w:numPr>
        <w:rPr>
          <w:rStyle w:val="Default Paragraph Font.0"/>
          <w:sz w:val="20"/>
          <w:szCs w:val="20"/>
          <w:lang w:val="en-US"/>
        </w:rPr>
      </w:pPr>
      <w:r>
        <w:rPr>
          <w:rStyle w:val="Default Paragraph Font.0"/>
          <w:rtl w:val="0"/>
          <w:lang w:val="en-US"/>
        </w:rPr>
        <w:t>Streaming media matching the transcripts, and</w:t>
      </w:r>
    </w:p>
    <w:p>
      <w:pPr>
        <w:pStyle w:val="Normal.0"/>
        <w:numPr>
          <w:ilvl w:val="0"/>
          <w:numId w:val="15"/>
        </w:numPr>
        <w:rPr>
          <w:rStyle w:val="Default Paragraph Font.0"/>
          <w:sz w:val="20"/>
          <w:szCs w:val="20"/>
          <w:lang w:val="en-US"/>
        </w:rPr>
      </w:pPr>
      <w:r>
        <w:rPr>
          <w:rStyle w:val="Default Paragraph Font.0"/>
          <w:rtl w:val="0"/>
          <w:lang w:val="en-US"/>
        </w:rPr>
        <w:t>Commentary pegged to both transcripts and media.</w:t>
      </w:r>
    </w:p>
    <w:p>
      <w:pPr>
        <w:pStyle w:val="Normal.0"/>
        <w:ind w:firstLine="0"/>
        <w:rPr>
          <w:rStyle w:val="Default Paragraph Font.0"/>
        </w:rPr>
      </w:pPr>
      <w:r>
        <w:rPr>
          <w:rStyle w:val="Default Paragraph Font.0"/>
          <w:rtl w:val="0"/>
          <w:lang w:val="en-US"/>
        </w:rPr>
        <w:t>For example, the transcript for the 10th session of the Yasmin corpus is located at data-orig /romance/es/Yasmin/10.cha. The XML is at data-xml/romance/es/Yasmin/10.xml. The media is at media/romance/es/Yasmin/10.mov. The four alternative compressions of the streaming media are on a streaming server at /CHILDES/romance/es/Yasmin/10/ and the documentation in HTML format is at /CHILDES/romance/es/Yasmin/10.</w:t>
      </w:r>
    </w:p>
    <w:p>
      <w:pPr>
        <w:pStyle w:val="Normal.0"/>
        <w:ind w:firstLine="0"/>
        <w:rPr>
          <w:rStyle w:val="Default Paragraph Font.0"/>
          <w:b w:val="1"/>
          <w:bCs w:val="1"/>
        </w:rPr>
      </w:pPr>
    </w:p>
    <w:p>
      <w:pPr>
        <w:pStyle w:val="Normal.0"/>
        <w:bidi w:val="0"/>
        <w:rPr>
          <w:rStyle w:val="Default Paragraph Font.0"/>
        </w:rPr>
      </w:pPr>
      <w:r>
        <w:rPr>
          <w:rStyle w:val="Default Paragraph Font.0"/>
          <w:b w:val="1"/>
          <w:bCs w:val="1"/>
          <w:rtl w:val="0"/>
          <w:lang w:val="en-US"/>
        </w:rPr>
        <w:t>Metadata Generation</w:t>
      </w:r>
      <w:r>
        <w:rPr>
          <w:rStyle w:val="Default Paragraph Font.0"/>
          <w:rtl w:val="0"/>
        </w:rPr>
        <w:t>: The next step of curation involves the creation and maintenance of metadata for ISBN cataloging, DOI generation, and OLAC indexing. TalkBank files are currently registering automatically to OLAC (www.language-archives.org) and IMDI (</w:t>
      </w:r>
      <w:r>
        <w:rPr>
          <w:rStyle w:val="Hyperlink.0"/>
        </w:rPr>
        <w:fldChar w:fldCharType="begin" w:fldLock="0"/>
      </w:r>
      <w:r>
        <w:rPr>
          <w:rStyle w:val="Hyperlink.0"/>
        </w:rPr>
        <w:instrText xml:space="preserve"> HYPERLINK "http://www.mpi.nl/IMDI/"</w:instrText>
      </w:r>
      <w:r>
        <w:rPr>
          <w:rStyle w:val="Hyperlink.0"/>
        </w:rPr>
        <w:fldChar w:fldCharType="separate" w:fldLock="0"/>
      </w:r>
      <w:r>
        <w:rPr>
          <w:rStyle w:val="Hyperlink.0"/>
          <w:rtl w:val="0"/>
        </w:rPr>
        <w:t>www.mpi.nl/IMDI/</w:t>
      </w:r>
      <w:r>
        <w:rPr/>
        <w:fldChar w:fldCharType="end" w:fldLock="0"/>
      </w:r>
      <w:r>
        <w:rPr>
          <w:rStyle w:val="Default Paragraph Font.0"/>
          <w:rtl w:val="0"/>
        </w:rPr>
        <w:t xml:space="preserve">) metadata systems. Metadata are important for smooth functioning of virtually all aspects of ComNet. This means that, as the project grows, we must continue to improve and extend the metadata set. As an example, let us consider the role that metadata will play in the curation and analysis of speech data. Currently, the /ae/ sound in Canadian English is shifting toward the /ao/ sound </w:t>
      </w:r>
      <w:r>
        <w:rPr/>
        <w:fldChar w:fldCharType="begin" w:fldLock="0"/>
      </w:r>
      <w:r>
        <w:instrText xml:space="preserve"> ADDIN EN.CITE &lt;EndNote&gt;&lt;Cite  &gt;&lt;Author&gt;Labov, W.&lt;/Author&gt;&lt;Year&gt;2006&lt;/Year&gt;&lt;RecNum&gt;10496&lt;/RecNum&gt;&lt;DisplayText&gt;(Labov, Ash, &amp; Boberg, 2006)&lt;/DisplayText&gt;&lt;record&gt;&lt;database name="allrefs.enl" path="/Files/EndNote/allrefs.enl"&gt;allrefs.enl&lt;/database&gt;&lt;source-app name="EndNote" version="14.0"&gt;EndNote&lt;/source-app&gt;&lt;rec-number&gt;10496&lt;/rec-number&gt;&lt;foreign-keys&gt;&lt;key app="EN" db-id="d90vsetwrpftsqew0f8pa5d3eepftezf5xpp"&gt;10496&lt;/key&gt;&lt;/foreign-keys&gt;&lt;ref-type name="Book"&gt;6&lt;/ref-type&gt;&lt;contributors&gt;&lt;authors&gt;&lt;author&gt;&lt;style face="normal" font="default" size="100%"&gt;Labov, W.&lt;/style&gt;&lt;/author&gt;&lt;author&gt;&lt;style face="normal" font="default" size="100%"&gt;Ash, S.&lt;/style&gt;&lt;/author&gt;&lt;author&gt;&lt;style face="normal" font="default" size="100%"&gt;Boberg, C.&lt;/style&gt;&lt;/author&gt;&lt;/authors&gt;&lt;/contributors&gt;&lt;titles&gt;&lt;title&gt;&lt;style face="normal" font="default" size="100%"&gt;The Atlas of North American English: Phonetics, phonology and sound change&lt;/style&gt;&lt;/title&gt;&lt;/titles&gt;&lt;dates&gt;&lt;year&gt;&lt;style face="normal" font="default" size="100%"&gt;2006&lt;/style&gt;&lt;/year&gt;&lt;/dates&gt;&lt;pub-location&gt;&lt;style face="normal" font="default" size="100%"&gt;Berlin&lt;/style&gt;&lt;/pub-location&gt;&lt;publisher&gt;&lt;style face="normal" font="default" size="100%"&gt;Mouton de Gruyter&lt;/style&gt;&lt;/publisher&gt;&lt;urls/&gt;&lt;/record&gt;&lt;/Cite&gt;&lt;/EndNote&gt;</w:instrText>
      </w:r>
      <w:r>
        <w:rPr/>
        <w:fldChar w:fldCharType="separate" w:fldLock="0"/>
      </w:r>
      <w:r>
        <w:rPr>
          <w:rtl w:val="0"/>
        </w:rPr>
        <w:t>(Labov, Ash, &amp; Boberg, 2006)</w:t>
      </w:r>
      <w:r>
        <w:rPr/>
        <w:fldChar w:fldCharType="end" w:fldLock="0"/>
      </w:r>
      <w:r>
        <w:rPr>
          <w:rStyle w:val="Default Paragraph Font.0"/>
          <w:rtl w:val="0"/>
        </w:rPr>
        <w:t xml:space="preserve">. In 40 years, this transition may be complete and it will then be difficult to correctly process earlier data without having metadata that indicates the time and place of recording and the dialect background of the speaker. This underlines the urgency of placing labels on data as soon as possible. For this sound change, it is also important to record metadata regarding speaker age, gender, geography, and education </w:t>
      </w:r>
      <w:r>
        <w:rPr/>
        <w:fldChar w:fldCharType="begin" w:fldLock="0"/>
      </w:r>
      <w:r>
        <w:instrText xml:space="preserve"> ADDIN EN.CITE &lt;EndNote&gt;&lt;Cite  &gt;&lt;Author&gt;Labov, W.&lt;/Author&gt;&lt;Year&gt;2001&lt;/Year&gt;&lt;RecNum&gt;10046&lt;/RecNum&gt;&lt;DisplayText&gt;(Labov, 2001)&lt;/DisplayText&gt;&lt;record&gt;&lt;database name="allrefs.enl" path="/Files/EndNote/allrefs.enl"&gt;allrefs.enl&lt;/database&gt;&lt;source-app name="EndNote" version="14.0"&gt;EndNote&lt;/source-app&gt;&lt;rec-number&gt;10046&lt;/rec-number&gt;&lt;foreign-keys&gt;&lt;key app="EN" db-id="d90vsetwrpftsqew0f8pa5d3eepftezf5xpp"&gt;10046&lt;/key&gt;&lt;/foreign-keys&gt;&lt;ref-type name="Book"&gt;6&lt;/ref-type&gt;&lt;contributors&gt;&lt;authors&gt;&lt;author&gt;&lt;style face="normal" font="default" size="100%"&gt;Labov, W.&lt;/style&gt;&lt;/author&gt;&lt;/authors&gt;&lt;/contributors&gt;&lt;titles&gt;&lt;title&gt;&lt;style face="normal" font="default" size="100%"&gt;Principles of linguistic change.  Vol. 2: Social considerations&lt;/style&gt;&lt;/title&gt;&lt;/titles&gt;&lt;dates&gt;&lt;year&gt;&lt;style face="normal" font="default" size="100%"&gt;2001&lt;/style&gt;&lt;/year&gt;&lt;/dates&gt;&lt;pub-location&gt;&lt;style face="normal" font="default" size="100%"&gt;London&lt;/style&gt;&lt;/pub-location&gt;&lt;publisher&gt;&lt;style face="normal" font="default" size="100%"&gt;Blackwells&lt;/style&gt;&lt;/publisher&gt;&lt;urls/&gt;&lt;/record&gt;&lt;/Cite&gt;&lt;/EndNote&gt;</w:instrText>
      </w:r>
      <w:r>
        <w:rPr/>
        <w:fldChar w:fldCharType="separate" w:fldLock="0"/>
      </w:r>
      <w:r>
        <w:rPr>
          <w:rtl w:val="0"/>
        </w:rPr>
        <w:t>(Labov, 2001)</w:t>
      </w:r>
      <w:r>
        <w:rPr/>
        <w:fldChar w:fldCharType="end" w:fldLock="0"/>
      </w:r>
      <w:r>
        <w:rPr>
          <w:rStyle w:val="Default Paragraph Font.0"/>
          <w:rtl w:val="0"/>
        </w:rPr>
        <w:t xml:space="preserve">. Collection of this sociolinguistic metadata supports a new trend in speech analysis that allows researchers to develop more coherent statistical models. The examination of speech in the context of the oral interviews that accompany major national surveys provides a unique opportunity to link rich metadata to detailed speech analysis. </w:t>
      </w:r>
    </w:p>
    <w:p>
      <w:pPr>
        <w:pStyle w:val="Normal.0"/>
        <w:bidi w:val="0"/>
        <w:rPr>
          <w:rStyle w:val="Default Paragraph Font.0"/>
        </w:rPr>
      </w:pPr>
    </w:p>
    <w:p>
      <w:pPr>
        <w:pStyle w:val="Normal.0"/>
        <w:bidi w:val="0"/>
        <w:rPr>
          <w:rStyle w:val="Default Paragraph Font.0"/>
        </w:rPr>
      </w:pPr>
      <w:r>
        <w:rPr>
          <w:rStyle w:val="Default Paragraph Font.0"/>
          <w:b w:val="1"/>
          <w:bCs w:val="1"/>
          <w:rtl w:val="0"/>
          <w:lang w:val="en-US"/>
        </w:rPr>
        <w:t>Documentation</w:t>
      </w:r>
      <w:r>
        <w:rPr>
          <w:rStyle w:val="Default Paragraph Font.0"/>
          <w:rtl w:val="0"/>
        </w:rPr>
        <w:t>: The final step of curation involves the writing of a readable PDF description of each corpus for inclusion in the corpus description manual. This manual is structured both as an independent, readable document and as a set of individual, searchable descriptions with metadata fields. In addition, the manual for the XML coding system is linked to fuller documentation in a manual that describes the format in terms of the CHAT display.</w:t>
      </w:r>
    </w:p>
    <w:p>
      <w:pPr>
        <w:pStyle w:val="Heading 2"/>
        <w:numPr>
          <w:ilvl w:val="1"/>
          <w:numId w:val="1"/>
        </w:numPr>
        <w:bidi w:val="0"/>
        <w:rPr>
          <w:rStyle w:val="Default Paragraph Font.0"/>
          <w:sz w:val="20"/>
          <w:szCs w:val="20"/>
        </w:rPr>
      </w:pPr>
      <w:r>
        <w:rPr>
          <w:rStyle w:val="Default Paragraph Font.0"/>
          <w:rtl w:val="0"/>
          <w:lang w:val="en-US"/>
        </w:rPr>
        <w:t>Interoperability</w:t>
      </w:r>
    </w:p>
    <w:p>
      <w:pPr>
        <w:pStyle w:val="Normal.0"/>
        <w:bidi w:val="0"/>
        <w:rPr>
          <w:rStyle w:val="Default Paragraph Font.0"/>
        </w:rPr>
      </w:pPr>
      <w:r>
        <w:rPr>
          <w:rStyle w:val="Default Paragraph Font.0"/>
          <w:rtl w:val="0"/>
        </w:rPr>
        <w:t xml:space="preserve">ComNet will provide interoperability for (1) data, (2) metadata, and (3) programs. </w:t>
      </w:r>
    </w:p>
    <w:p>
      <w:pPr>
        <w:pStyle w:val="Normal.0"/>
        <w:ind w:firstLine="0"/>
        <w:rPr>
          <w:rStyle w:val="Default Paragraph Font.0"/>
        </w:rPr>
      </w:pPr>
    </w:p>
    <w:p>
      <w:pPr>
        <w:pStyle w:val="Normal.0"/>
        <w:bidi w:val="0"/>
        <w:rPr>
          <w:rStyle w:val="Default Paragraph Font.0"/>
        </w:rPr>
      </w:pPr>
      <w:r>
        <w:rPr>
          <w:rStyle w:val="Default Paragraph Font.0"/>
          <w:b w:val="1"/>
          <w:bCs w:val="1"/>
          <w:rtl w:val="0"/>
          <w:lang w:val="en-US"/>
        </w:rPr>
        <w:t>Data interoperability</w:t>
      </w:r>
      <w:r>
        <w:rPr>
          <w:rStyle w:val="Default Paragraph Font.0"/>
          <w:rtl w:val="0"/>
        </w:rPr>
        <w:t>: ComNet is building on 25 years of work on data integration in the TalkBank framework. TalkBank data derive from 158 separate projects, each of which was eventually integrated into the single over-arching XML framework. During this process of integration, it was often necessary to extend the framework to represent new contrasts or distinctions marked in particular corpora. This process will continue within ComNet. Because the schema is a growing framework, TalkBank tools have been constructed to allow for repeated cyclic reformatting and validation of the whole corpus, whenever a change is made to the schema. Given the goal of constructing a single, integrated database, a major goal for ComNet will be the integration of LDC materials to the ComNet XML standard.  Once this is achieved, users of LDC data will have improved access to LDC materials and can use ComNet tools to process these data. This merger of the two systems will also encourage additional research groups, and even new user communities whose data formats differ, to become LDC members, thereby further strengthening ComNet sustainability.</w:t>
      </w:r>
    </w:p>
    <w:p>
      <w:pPr>
        <w:pStyle w:val="Normal.0"/>
        <w:ind w:firstLine="0"/>
        <w:rPr>
          <w:rStyle w:val="Default Paragraph Font.0"/>
          <w:b w:val="1"/>
          <w:bCs w:val="1"/>
        </w:rPr>
      </w:pPr>
    </w:p>
    <w:p>
      <w:pPr>
        <w:pStyle w:val="Normal.0"/>
        <w:bidi w:val="0"/>
        <w:rPr>
          <w:rStyle w:val="Default Paragraph Font.0"/>
        </w:rPr>
      </w:pPr>
      <w:r>
        <w:rPr>
          <w:rStyle w:val="Default Paragraph Font.0"/>
          <w:b w:val="1"/>
          <w:bCs w:val="1"/>
          <w:rtl w:val="0"/>
          <w:lang w:val="en-US"/>
        </w:rPr>
        <w:t>Metadata Interoperability</w:t>
      </w:r>
      <w:r>
        <w:rPr>
          <w:rStyle w:val="Default Paragraph Font.0"/>
          <w:rtl w:val="0"/>
        </w:rPr>
        <w:t xml:space="preserve">: Computational linguists have devoted a great deal of attention to the development of systems for annotating the ontologies of human communication. Among the efforts in this direction, we should single out OLAC, IMDI, GOLD, and WordNet. ComNet will build on each of these systems. The OLAC metadata set </w:t>
      </w:r>
      <w:r>
        <w:rPr/>
        <w:fldChar w:fldCharType="begin" w:fldLock="0"/>
      </w:r>
      <w:r>
        <w:instrText xml:space="preserve"> ADDIN EN.CITE &lt;EndNote&gt;&lt;Cite  &gt;&lt;Author&gt;Simons, G.&lt;/Author&gt;&lt;Year&gt;2008&lt;/Year&gt;&lt;RecNum&gt;10688&lt;/RecNum&gt;&lt;DisplayText&gt;(Simons &amp; Bird, 2008)&lt;/DisplayText&gt;&lt;record&gt;&lt;database name="allrefs.enl" path="/Files/EndNote/allrefs.enl"&gt;allrefs.enl&lt;/database&gt;&lt;source-app name="EndNote" version="14.0"&gt;EndNote&lt;/source-app&gt;&lt;rec-number&gt;10688&lt;/rec-number&gt;&lt;foreign-keys&gt;&lt;key app="EN" db-id="d90vsetwrpftsqew0f8pa5d3eepftezf5xpp"&gt;10688&lt;/key&gt;&lt;/foreign-keys&gt;&lt;ref-type name="Conference Proceedings"&gt;10&lt;/ref-type&gt;&lt;contributors&gt;&lt;authors&gt;&lt;author&gt;&lt;style face="normal" font="default" size="100%"&gt;Simons, G.&lt;/style&gt;&lt;/author&gt;&lt;author&gt;&lt;style face="normal" font="default" size="100%"&gt;Bird, S.&lt;/style&gt;&lt;/author&gt;&lt;/authors&gt;&lt;/contributors&gt;&lt;titles&gt;&lt;title&gt;&lt;style face="normal" font="default" size="100%"&gt;Toward a global infrastructure for the sustainability of language resources&lt;/style&gt;&lt;/title&gt;&lt;secondary-title&gt;&lt;style face="normal" font="default" size="100%"&gt;22nd Pacific Asia Conference on Language, Information and Computation&lt;/style&gt;&lt;/secondary-title&gt;&lt;/titles&gt;&lt;pages&gt;&lt;style face="normal" font="default" size="100%"&gt;212-228&lt;/style&gt;&lt;/pages&gt;&lt;dates&gt;&lt;year&gt;&lt;style face="normal" font="default" size="100%"&gt;2008&lt;/style&gt;&lt;/year&gt;&lt;/dates&gt;&lt;pub-location&gt;&lt;style face="normal" font="default" size="100%"&gt;Cebu City, Phillipines&lt;/style&gt;&lt;/pub-location&gt;&lt;urls/&gt;&lt;/record&gt;&lt;/Cite&gt;&lt;/EndNote&gt;</w:instrText>
      </w:r>
      <w:r>
        <w:rPr/>
        <w:fldChar w:fldCharType="separate" w:fldLock="0"/>
      </w:r>
      <w:r>
        <w:rPr>
          <w:rtl w:val="0"/>
        </w:rPr>
        <w:t>(Simons &amp; Bird, 2008)</w:t>
      </w:r>
      <w:r>
        <w:rPr/>
        <w:fldChar w:fldCharType="end" w:fldLock="0"/>
      </w:r>
      <w:r>
        <w:rPr>
          <w:rStyle w:val="Default Paragraph Font.0"/>
          <w:rtl w:val="0"/>
        </w:rPr>
        <w:t xml:space="preserve"> is a subset of the larger IMDI set (</w:t>
      </w:r>
      <w:r>
        <w:rPr>
          <w:rStyle w:val="Hyperlink.0"/>
        </w:rPr>
        <w:fldChar w:fldCharType="begin" w:fldLock="0"/>
      </w:r>
      <w:r>
        <w:rPr>
          <w:rStyle w:val="Hyperlink.0"/>
        </w:rPr>
        <w:instrText xml:space="preserve"> HYPERLINK "http://www.mpi.nl/IMDI/tools"</w:instrText>
      </w:r>
      <w:r>
        <w:rPr>
          <w:rStyle w:val="Hyperlink.0"/>
        </w:rPr>
        <w:fldChar w:fldCharType="separate" w:fldLock="0"/>
      </w:r>
      <w:r>
        <w:rPr>
          <w:rStyle w:val="Hyperlink.0"/>
          <w:rtl w:val="0"/>
        </w:rPr>
        <w:t>www.mpi.nl/IMDI/tools</w:t>
      </w:r>
      <w:r>
        <w:rPr/>
        <w:fldChar w:fldCharType="end" w:fldLock="0"/>
      </w:r>
      <w:r>
        <w:rPr>
          <w:rStyle w:val="Default Paragraph Font.0"/>
          <w:rtl w:val="0"/>
        </w:rPr>
        <w:t>). At a minimum, ComNet data will subscribe to OLAC. However, ComNet will also support IMDI validation, as a further option. The textual segments of ComNet will be curated using the TEI (</w:t>
      </w:r>
      <w:r>
        <w:rPr>
          <w:rStyle w:val="Hyperlink.0"/>
        </w:rPr>
        <w:fldChar w:fldCharType="begin" w:fldLock="0"/>
      </w:r>
      <w:r>
        <w:rPr>
          <w:rStyle w:val="Hyperlink.0"/>
        </w:rPr>
        <w:instrText xml:space="preserve"> HYPERLINK "http://www.tei-c.org"</w:instrText>
      </w:r>
      <w:r>
        <w:rPr>
          <w:rStyle w:val="Hyperlink.0"/>
        </w:rPr>
        <w:fldChar w:fldCharType="separate" w:fldLock="0"/>
      </w:r>
      <w:r>
        <w:rPr>
          <w:rStyle w:val="Hyperlink.0"/>
          <w:rtl w:val="0"/>
        </w:rPr>
        <w:t>www.tei-c.org</w:t>
      </w:r>
      <w:r>
        <w:rPr/>
        <w:fldChar w:fldCharType="end" w:fldLock="0"/>
      </w:r>
      <w:r>
        <w:rPr>
          <w:rStyle w:val="Default Paragraph Font.0"/>
          <w:rtl w:val="0"/>
        </w:rPr>
        <w:t xml:space="preserve">) metadata set with input from Gibson*, Seaman*, and Unsworth*. The TEI framework extends beyond metadata to specific language tags. ComNet will also work to integrate these lower level TEI tags into the overall ComNet XML Schema. We will also work to bring the ComNet schema into accord with the developing GOLD </w:t>
      </w:r>
      <w:r>
        <w:rPr/>
        <w:fldChar w:fldCharType="begin" w:fldLock="0"/>
      </w:r>
      <w:r>
        <w:instrText xml:space="preserve"> ADDIN EN.CITE &lt;EndNote&gt;&lt;Cite  &gt;&lt;Author&gt;Farrar, S.&lt;/Author&gt;&lt;Year&gt;2003&lt;/Year&gt;&lt;RecNum&gt;9762&lt;/RecNum&gt;&lt;DisplayText&gt;(Farrar &amp; Langendoen, 2003)&lt;/DisplayText&gt;&lt;record&gt;&lt;database name="allrefs.enl" path="/Files/EndNote/allrefs.enl"&gt;allrefs.enl&lt;/database&gt;&lt;source-app name="EndNote" version="14.0"&gt;EndNote&lt;/source-app&gt;&lt;rec-number&gt;9762&lt;/rec-number&gt;&lt;foreign-keys&gt;&lt;key app="EN" db-id="d90vsetwrpftsqew0f8pa5d3eepftezf5xpp"&gt;9762&lt;/key&gt;&lt;/foreign-keys&gt;&lt;ref-type name="Journal Article"&gt;17&lt;/ref-type&gt;&lt;contributors&gt;&lt;authors&gt;&lt;author&gt;&lt;style face="normal" font="default" size="100%"&gt;Farrar, S.&lt;/style&gt;&lt;/author&gt;&lt;author&gt;&lt;style face="normal" font="default" size="100%"&gt;Langendoen, T.&lt;/style&gt;&lt;/author&gt;&lt;/authors&gt;&lt;/contributors&gt;&lt;titles&gt;&lt;title&gt;&lt;style face="normal" font="default" size="100%"&gt;A linguistic ontology for the Semantic Web&lt;/style&gt;&lt;/title&gt;&lt;secondary-title&gt;&lt;style face="normal" font="default" size="100%"&gt;GLOT International&lt;/style&gt;&lt;/secondary-title&gt;&lt;/titles&gt;&lt;periodical&gt;&lt;full-title&gt;&lt;style face="normal" font="default" size="100%"&gt;Glot International&lt;/style&gt;&lt;/full-title&gt;&lt;/periodical&gt;&lt;pages&gt;&lt;style face="normal" font="default" size="100%"&gt;97-100&lt;/style&gt;&lt;/pages&gt;&lt;volume&gt;&lt;style face="normal" font="default" size="100%"&gt;7&lt;/style&gt;&lt;/volume&gt;&lt;dates&gt;&lt;year&gt;&lt;style face="normal" font="default" size="100%"&gt;2003&lt;/style&gt;&lt;/year&gt;&lt;/dates&gt;&lt;urls/&gt;&lt;/record&gt;&lt;/Cite&gt;&lt;/EndNote&gt;</w:instrText>
      </w:r>
      <w:r>
        <w:rPr/>
        <w:fldChar w:fldCharType="separate" w:fldLock="0"/>
      </w:r>
      <w:r>
        <w:rPr>
          <w:rtl w:val="0"/>
        </w:rPr>
        <w:t>(Farrar &amp; Langendoen, 2003)</w:t>
      </w:r>
      <w:r>
        <w:rPr/>
        <w:fldChar w:fldCharType="end" w:fldLock="0"/>
      </w:r>
      <w:r>
        <w:rPr>
          <w:rStyle w:val="Default Paragraph Font.0"/>
          <w:rtl w:val="0"/>
        </w:rPr>
        <w:t xml:space="preserve"> ontology (</w:t>
      </w:r>
      <w:r>
        <w:rPr>
          <w:rStyle w:val="Hyperlink.0"/>
        </w:rPr>
        <w:fldChar w:fldCharType="begin" w:fldLock="0"/>
      </w:r>
      <w:r>
        <w:rPr>
          <w:rStyle w:val="Hyperlink.0"/>
        </w:rPr>
        <w:instrText xml:space="preserve"> HYPERLINK "http://linguistics-ontology.org"</w:instrText>
      </w:r>
      <w:r>
        <w:rPr>
          <w:rStyle w:val="Hyperlink.0"/>
        </w:rPr>
        <w:fldChar w:fldCharType="separate" w:fldLock="0"/>
      </w:r>
      <w:r>
        <w:rPr>
          <w:rStyle w:val="Hyperlink.0"/>
          <w:rtl w:val="0"/>
        </w:rPr>
        <w:t>linguistics-ontology.org</w:t>
      </w:r>
      <w:r>
        <w:rPr/>
        <w:fldChar w:fldCharType="end" w:fldLock="0"/>
      </w:r>
      <w:r>
        <w:rPr>
          <w:rStyle w:val="Default Paragraph Font.0"/>
          <w:rtl w:val="0"/>
        </w:rPr>
        <w:t>).  This ontology uses the SUMO upper ontology (</w:t>
      </w:r>
      <w:r>
        <w:rPr>
          <w:rStyle w:val="Hyperlink.0"/>
        </w:rPr>
        <w:fldChar w:fldCharType="begin" w:fldLock="0"/>
      </w:r>
      <w:r>
        <w:rPr>
          <w:rStyle w:val="Hyperlink.0"/>
        </w:rPr>
        <w:instrText xml:space="preserve"> HYPERLINK "http://www.ontologyportal.org"</w:instrText>
      </w:r>
      <w:r>
        <w:rPr>
          <w:rStyle w:val="Hyperlink.0"/>
        </w:rPr>
        <w:fldChar w:fldCharType="separate" w:fldLock="0"/>
      </w:r>
      <w:r>
        <w:rPr>
          <w:rStyle w:val="Hyperlink.0"/>
          <w:rtl w:val="0"/>
        </w:rPr>
        <w:t>www.ontologyportal.org</w:t>
      </w:r>
      <w:r>
        <w:rPr/>
        <w:fldChar w:fldCharType="end" w:fldLock="0"/>
      </w:r>
      <w:r>
        <w:rPr>
          <w:rStyle w:val="Default Paragraph Font.0"/>
          <w:rtl w:val="0"/>
        </w:rPr>
        <w:t>) which itself is in accord with the WordNet (</w:t>
      </w:r>
      <w:r>
        <w:rPr>
          <w:rStyle w:val="Hyperlink.0"/>
        </w:rPr>
        <w:fldChar w:fldCharType="begin" w:fldLock="0"/>
      </w:r>
      <w:r>
        <w:rPr>
          <w:rStyle w:val="Hyperlink.0"/>
        </w:rPr>
        <w:instrText xml:space="preserve"> HYPERLINK "http://www.wordnet.princeton.edu"</w:instrText>
      </w:r>
      <w:r>
        <w:rPr>
          <w:rStyle w:val="Hyperlink.0"/>
        </w:rPr>
        <w:fldChar w:fldCharType="separate" w:fldLock="0"/>
      </w:r>
      <w:r>
        <w:rPr>
          <w:rStyle w:val="Hyperlink.0"/>
          <w:rtl w:val="0"/>
        </w:rPr>
        <w:t>wordnet.princeton.edu</w:t>
      </w:r>
      <w:r>
        <w:rPr/>
        <w:fldChar w:fldCharType="end" w:fldLock="0"/>
      </w:r>
      <w:r>
        <w:rPr>
          <w:rStyle w:val="Default Paragraph Font.0"/>
          <w:rtl w:val="0"/>
        </w:rPr>
        <w:t xml:space="preserve">) framework. GOLD has been most fully elaborated in regards to the features of morphosyntax that encode gender, number, person, case, evidence, evaluation, modality, tense, mood, force, size, aspect, polarity, and voice. This ontology allows us to elaborate the current XML schema to correspond to the decomposition produced automatically by the MOR program for the %mor (morphosyntax) line. </w:t>
      </w:r>
    </w:p>
    <w:p>
      <w:pPr>
        <w:pStyle w:val="Normal.0"/>
        <w:ind w:firstLine="0"/>
        <w:rPr>
          <w:rStyle w:val="Default Paragraph Font.0"/>
          <w:b w:val="1"/>
          <w:bCs w:val="1"/>
        </w:rPr>
      </w:pPr>
    </w:p>
    <w:p>
      <w:pPr>
        <w:pStyle w:val="Normal.0"/>
        <w:bidi w:val="0"/>
        <w:rPr>
          <w:rStyle w:val="Default Paragraph Font.0"/>
        </w:rPr>
      </w:pPr>
      <w:r>
        <w:rPr>
          <w:rStyle w:val="Default Paragraph Font.0"/>
          <w:b w:val="1"/>
          <w:bCs w:val="1"/>
          <w:rtl w:val="0"/>
          <w:lang w:val="en-US"/>
        </w:rPr>
        <w:t>Program interoperability</w:t>
      </w:r>
      <w:r>
        <w:rPr>
          <w:rStyle w:val="Default Paragraph Font.0"/>
          <w:rtl w:val="0"/>
        </w:rPr>
        <w:t>: Our work on program interoperability is fairly advanced. We can now convert between every major display format in this field and the ComNet XML format. However, as ComNet moves into new areas, such as library collections and survey data, we will need to further extend interoperability by extending the ComNet XML schema and the various programming tools that rely upon it to integrate with TEI and other formats.</w:t>
      </w:r>
    </w:p>
    <w:p>
      <w:pPr>
        <w:pStyle w:val="Heading 2"/>
        <w:numPr>
          <w:ilvl w:val="1"/>
          <w:numId w:val="1"/>
        </w:numPr>
        <w:bidi w:val="0"/>
        <w:rPr>
          <w:rStyle w:val="Default Paragraph Font.0"/>
          <w:sz w:val="20"/>
          <w:szCs w:val="20"/>
        </w:rPr>
      </w:pPr>
      <w:r>
        <w:rPr>
          <w:rStyle w:val="Default Paragraph Font.0"/>
          <w:rtl w:val="0"/>
          <w:lang w:val="en-US"/>
        </w:rPr>
        <w:t>Search and Visualization</w:t>
      </w:r>
    </w:p>
    <w:p>
      <w:pPr>
        <w:pStyle w:val="Normal.0"/>
        <w:bidi w:val="0"/>
        <w:rPr>
          <w:rStyle w:val="Default Paragraph Font.0"/>
        </w:rPr>
      </w:pPr>
      <w:r>
        <w:rPr>
          <w:rStyle w:val="Default Paragraph Font.0"/>
          <w:rtl w:val="0"/>
        </w:rPr>
        <w:t>ComNet will also seek to advance methods for search, discovery, and analysis. Users will be able to access ComNet materials through a single entry port interface, using a search engine that can take advantage of the structured, open XML databases we have created.  The ComNet searcher will support multilingual, metadata-driven search, composition of regular expression searches, and direct playback of transcripts and media located through the search routines. The search program will implement all standard technologies for concordances, frequency counts, mean length of utterance, tagging, sequence analysis, etc. The searcher will also transmit data to standard statistical analysis in Excel, R, Matlab, and other programs for report generation and data visualization.</w:t>
      </w:r>
    </w:p>
    <w:p>
      <w:pPr>
        <w:pStyle w:val="Normal.0"/>
        <w:bidi w:val="0"/>
        <w:rPr>
          <w:rStyle w:val="Default Paragraph Font.0"/>
        </w:rPr>
      </w:pPr>
      <w:r>
        <w:rPr>
          <w:rStyle w:val="Default Paragraph Font.0"/>
          <w:rtl w:val="0"/>
        </w:rPr>
        <w:t>For analysis of sociolinguistic data, we will extend the DASLTran tool developed for TalkBank so that it supports search and visualization of hierarchical and tabular data, for example, session and subject specific metadata. This new tool will also import and export format used within the quantitative sociolinguistic research community such as NCSLAAP (ncslaap.lib.ncsu.edu), Excel, Praat (</w:t>
      </w:r>
      <w:r>
        <w:rPr>
          <w:rStyle w:val="Hyperlink.0"/>
        </w:rPr>
        <w:fldChar w:fldCharType="begin" w:fldLock="0"/>
      </w:r>
      <w:r>
        <w:rPr>
          <w:rStyle w:val="Hyperlink.0"/>
        </w:rPr>
        <w:instrText xml:space="preserve"> HYPERLINK "http://www.fon.hum.uva.nl/praat"</w:instrText>
      </w:r>
      <w:r>
        <w:rPr>
          <w:rStyle w:val="Hyperlink.0"/>
        </w:rPr>
        <w:fldChar w:fldCharType="separate" w:fldLock="0"/>
      </w:r>
      <w:r>
        <w:rPr>
          <w:rStyle w:val="Hyperlink.0"/>
          <w:rtl w:val="0"/>
        </w:rPr>
        <w:t>www.fon.hum.uva.nl/praat</w:t>
      </w:r>
      <w:r>
        <w:rPr/>
        <w:fldChar w:fldCharType="end" w:fldLock="0"/>
      </w:r>
      <w:r>
        <w:rPr>
          <w:rStyle w:val="Default Paragraph Font.0"/>
          <w:rtl w:val="0"/>
        </w:rPr>
        <w:t>) GoldVarb, and R (</w:t>
      </w:r>
      <w:r>
        <w:rPr>
          <w:rStyle w:val="Hyperlink.1"/>
        </w:rPr>
        <w:fldChar w:fldCharType="begin" w:fldLock="0"/>
      </w:r>
      <w:r>
        <w:rPr>
          <w:rStyle w:val="Hyperlink.1"/>
        </w:rPr>
        <w:instrText xml:space="preserve"> HYPERLINK "http://www.r-project.org"</w:instrText>
      </w:r>
      <w:r>
        <w:rPr>
          <w:rStyle w:val="Hyperlink.1"/>
        </w:rPr>
        <w:fldChar w:fldCharType="separate" w:fldLock="0"/>
      </w:r>
      <w:r>
        <w:rPr>
          <w:rStyle w:val="Hyperlink.1"/>
          <w:rtl w:val="0"/>
        </w:rPr>
        <w:t>www.r-project.org</w:t>
      </w:r>
      <w:r>
        <w:rPr/>
        <w:fldChar w:fldCharType="end" w:fldLock="0"/>
      </w:r>
      <w:r>
        <w:rPr>
          <w:rStyle w:val="Default Paragraph Font.0"/>
          <w:rtl w:val="0"/>
        </w:rPr>
        <w:t>).</w:t>
      </w:r>
    </w:p>
    <w:p>
      <w:pPr>
        <w:pStyle w:val="Normal.0"/>
        <w:bidi w:val="0"/>
        <w:rPr>
          <w:rStyle w:val="Default Paragraph Font.0"/>
        </w:rPr>
      </w:pPr>
      <w:r>
        <w:rPr>
          <w:rStyle w:val="Default Paragraph Font.0"/>
          <w:rtl w:val="0"/>
        </w:rPr>
        <w:t>ComNet will also develop systems for automatic language analysis, such as part of speech tagging, grammatical dependency analysis, and a variety of content analyses, such as Pennebaker</w:t>
      </w:r>
      <w:r>
        <w:rPr>
          <w:rStyle w:val="Default Paragraph Font.0"/>
          <w:rtl w:val="0"/>
        </w:rPr>
        <w:t>’</w:t>
      </w:r>
      <w:r>
        <w:rPr>
          <w:rStyle w:val="Default Paragraph Font.0"/>
          <w:rtl w:val="0"/>
        </w:rPr>
        <w:t xml:space="preserve">s* LIWC </w:t>
      </w:r>
      <w:r>
        <w:rPr/>
        <w:fldChar w:fldCharType="begin" w:fldLock="0"/>
      </w:r>
      <w:r>
        <w:instrText xml:space="preserve"> ADDIN EN.CITE &lt;EndNote&gt;&lt;Cite  &gt;&lt;Author&gt;Pennebaker, J. W.&lt;/Author&gt;&lt;Year&gt;2001&lt;/Year&gt;&lt;RecNum&gt;10255&lt;/RecNum&gt;&lt;DisplayText&gt;(Pennebaker et al., 2001)&lt;/DisplayText&gt;&lt;record&gt;&lt;database name="allrefs.enl" path="/Files/EndNote/allrefs.enl"&gt;allrefs.enl&lt;/database&gt;&lt;source-app name="EndNote" version="14.0"&gt;EndNote&lt;/source-app&gt;&lt;rec-number&gt;10255&lt;/rec-number&gt;&lt;foreign-keys&gt;&lt;key app="EN" db-id="d90vsetwrpftsqew0f8pa5d3eepftezf5xpp"&gt;10255&lt;/key&gt;&lt;/foreign-keys&gt;&lt;ref-type name="Book"&gt;6&lt;/ref-type&gt;&lt;contributors&gt;&lt;authors&gt;&lt;author&gt;&lt;style face="normal" font="default" size="100%"&gt;Pennebaker, J. W.&lt;/style&gt;&lt;/author&gt;&lt;author&gt;&lt;style face="normal" font="default" size="100%"&gt;Francis, M. E.&lt;/style&gt;&lt;/author&gt;&lt;author&gt;&lt;style face="normal" font="default" size="100%"&gt;Booth, R. J.&lt;/style&gt;&lt;/author&gt;&lt;/authors&gt;&lt;/contributors&gt;&lt;titles&gt;&lt;title&gt;&lt;style face="normal" font="default" size="100%"&gt;Linguistic Inquiry and Word Count (LIWC): A computerized text analysis program&lt;/style&gt;&lt;/title&gt;&lt;/titles&gt;&lt;dates&gt;&lt;year&gt;&lt;style face="normal" font="default" size="100%"&gt;2001&lt;/style&gt;&lt;/year&gt;&lt;/dates&gt;&lt;pub-location&gt;&lt;style face="normal" font="default" size="100%"&gt;Mahwah, NJ&lt;/style&gt;&lt;/pub-location&gt;&lt;publisher&gt;&lt;style face="normal" font="default" size="100%"&gt;Lawrence Erlbaum Associates&lt;/style&gt;&lt;/publisher&gt;&lt;urls/&gt;&lt;/record&gt;&lt;/Cite&gt;&lt;/EndNote&gt;</w:instrText>
      </w:r>
      <w:r>
        <w:rPr/>
        <w:fldChar w:fldCharType="separate" w:fldLock="0"/>
      </w:r>
      <w:r>
        <w:rPr>
          <w:rtl w:val="0"/>
        </w:rPr>
        <w:t>(Pennebaker et al., 2001)</w:t>
      </w:r>
      <w:r>
        <w:rPr/>
        <w:fldChar w:fldCharType="end" w:fldLock="0"/>
      </w:r>
      <w:r>
        <w:rPr>
          <w:rStyle w:val="Default Paragraph Font.0"/>
          <w:rtl w:val="0"/>
        </w:rPr>
        <w:t xml:space="preserve"> and Wiebe</w:t>
      </w:r>
      <w:r>
        <w:rPr>
          <w:rStyle w:val="Default Paragraph Font.0"/>
          <w:rtl w:val="0"/>
        </w:rPr>
        <w:t>’</w:t>
      </w:r>
      <w:r>
        <w:rPr>
          <w:rStyle w:val="Default Paragraph Font.0"/>
          <w:rtl w:val="0"/>
        </w:rPr>
        <w:t xml:space="preserve">s ontology </w:t>
      </w:r>
      <w:r>
        <w:rPr/>
        <w:fldChar w:fldCharType="begin" w:fldLock="0"/>
      </w:r>
      <w:r>
        <w:instrText xml:space="preserve"> ADDIN EN.CITE &lt;EndNote&gt;&lt;Cite ExcludeAuth="1" &gt;&lt;Author&gt;Wiebe, J.&lt;/Author&gt;&lt;Year&gt;1994&lt;/Year&gt;&lt;RecNum&gt;10494&lt;/RecNum&gt;&lt;DisplayText&gt;(1994, 2000)&lt;/DisplayText&gt;&lt;record&gt;&lt;database name="allrefs.enl" path="/Files/EndNote/allrefs.enl"&gt;allrefs.enl&lt;/database&gt;&lt;source-app name="EndNote" version="14.0"&gt;EndNote&lt;/source-app&gt;&lt;rec-number&gt;10494&lt;/rec-number&gt;&lt;foreign-keys&gt;&lt;key app="EN" db-id="d90vsetwrpftsqew0f8pa5d3eepftezf5xpp"&gt;10494&lt;/key&gt;&lt;/foreign-keys&gt;&lt;ref-type name="Journal Article"&gt;17&lt;/ref-type&gt;&lt;contributors&gt;&lt;authors&gt;&lt;author&gt;&lt;style face="normal" font="default" size="100%"&gt;Wiebe, J.&lt;/style&gt;&lt;/author&gt;&lt;/authors&gt;&lt;/contributors&gt;&lt;titles&gt;&lt;title&gt;&lt;style face="normal" font="default" size="100%"&gt;Tracking point of view in narrative&lt;/style&gt;&lt;/title&gt;&lt;secondary-title&gt;&lt;style face="normal" font="default" size="100%"&gt;Computational Linguistics&lt;/style&gt;&lt;/secondary-title&gt;&lt;/titles&gt;&lt;pages&gt;&lt;style face="normal" font="default" size="100%"&gt;233-287&lt;/style&gt;&lt;/pages&gt;&lt;volume&gt;&lt;style face="normal" font="default" size="100%"&gt;20&lt;/style&gt;&lt;/volume&gt;&lt;dates&gt;&lt;year&gt;&lt;style face="normal" font="default" size="100%"&gt;1994&lt;/style&gt;&lt;/year&gt;&lt;/dates&gt;&lt;urls/&gt;&lt;/record&gt;&lt;/Cite&gt;&lt;Cite  &gt;&lt;Author&gt;Wiebe, J.&lt;/Author&gt;&lt;Year&gt;2000&lt;/Year&gt;&lt;RecNum&gt;10495&lt;/RecNum&gt;&lt;record&gt;&lt;database name="allrefs.enl" path="/Files/EndNote/allrefs.enl"&gt;allrefs.enl&lt;/database&gt;&lt;source-app name="EndNote" version="14.0"&gt;EndNote&lt;/source-app&gt;&lt;rec-number&gt;10495&lt;/rec-number&gt;&lt;foreign-keys&gt;&lt;key app="EN" db-id="d90vsetwrpftsqew0f8pa5d3eepftezf5xpp"&gt;10495&lt;/key&gt;&lt;/foreign-keys&gt;&lt;ref-type name="Journal Article"&gt;17&lt;/ref-type&gt;&lt;contributors&gt;&lt;authors&gt;&lt;author&gt;&lt;style face="normal" font="default" size="100%"&gt;Wiebe, J.&lt;/style&gt;&lt;/author&gt;&lt;/authors&gt;&lt;/contributors&gt;&lt;titles&gt;&lt;title&gt;&lt;style face="normal" font="default" size="100%"&gt;Learning subjective adjectives from corpora&lt;/style&gt;&lt;/title&gt;&lt;secondary-title&gt;&lt;style face="normal" font="default" size="100%"&gt;AAAI Journal&lt;/style&gt;&lt;/secondary-title&gt;&lt;/titles&gt;&lt;dates&gt;&lt;year&gt;&lt;style face="normal" font="default" size="100%"&gt;2000&lt;/style&gt;&lt;/year&gt;&lt;/dates&gt;&lt;urls/&gt;&lt;/record&gt;&lt;/Cite&gt;&lt;/EndNote&gt;</w:instrText>
      </w:r>
      <w:r>
        <w:rPr/>
        <w:fldChar w:fldCharType="separate" w:fldLock="0"/>
      </w:r>
      <w:r>
        <w:rPr>
          <w:rtl w:val="0"/>
        </w:rPr>
        <w:t>(1994, 2000)</w:t>
      </w:r>
      <w:r>
        <w:rPr/>
        <w:fldChar w:fldCharType="end" w:fldLock="0"/>
      </w:r>
      <w:r>
        <w:rPr>
          <w:rStyle w:val="Default Paragraph Font.0"/>
          <w:rtl w:val="0"/>
        </w:rPr>
        <w:t xml:space="preserve">. In various targeted areas, ComNet will develop tools to build specific information extraction engines.  For example, in the NSF sponsored "Mining the Bibliome",  Mark Liberman and his colleagues created corpora of abstracts of biomedical text annotated syntactically and for biomedical entities, for example carcinogens, and the various ways they are named, mentioned, abbreviated and referenced. This data was then used to build and evaluate systems that automatically identified and classified such entities. The team that built these systems consisted of linguists, computer scientists, programmers and content experts. </w:t>
      </w:r>
    </w:p>
    <w:p>
      <w:pPr>
        <w:pStyle w:val="Normal.0"/>
        <w:bidi w:val="0"/>
        <w:rPr>
          <w:rStyle w:val="Default Paragraph Font.0"/>
        </w:rPr>
      </w:pPr>
      <w:r>
        <w:rPr>
          <w:rStyle w:val="Default Paragraph Font.0"/>
          <w:rtl w:val="0"/>
        </w:rPr>
        <w:t>To supplement these tools for data analysis, we will build additional tools for data visualization.   Let us mention two as illustrations: BungeeView and Commenter.  BungeeView (</w:t>
      </w:r>
      <w:r>
        <w:rPr>
          <w:rStyle w:val="Hyperlink.0"/>
        </w:rPr>
        <w:fldChar w:fldCharType="begin" w:fldLock="0"/>
      </w:r>
      <w:r>
        <w:rPr>
          <w:rStyle w:val="Hyperlink.0"/>
        </w:rPr>
        <w:instrText xml:space="preserve"> HYPERLINK "http://www.bungeeview.com"</w:instrText>
      </w:r>
      <w:r>
        <w:rPr>
          <w:rStyle w:val="Hyperlink.0"/>
        </w:rPr>
        <w:fldChar w:fldCharType="separate" w:fldLock="0"/>
      </w:r>
      <w:r>
        <w:rPr>
          <w:rStyle w:val="Hyperlink.0"/>
          <w:rtl w:val="0"/>
        </w:rPr>
        <w:t>bungeeview.com</w:t>
      </w:r>
      <w:r>
        <w:rPr/>
        <w:fldChar w:fldCharType="end" w:fldLock="0"/>
      </w:r>
      <w:r>
        <w:rPr>
          <w:rStyle w:val="Default Paragraph Font.0"/>
          <w:rtl w:val="0"/>
        </w:rPr>
        <w:t xml:space="preserve">) allows the user to discover patterns in metadata across documents and videos. Commenter implements a system for creating collaborative commentary </w:t>
      </w:r>
      <w:r>
        <w:rPr/>
        <w:fldChar w:fldCharType="begin" w:fldLock="0"/>
      </w:r>
      <w:r>
        <w:instrText xml:space="preserve"> ADDIN EN.CITE &lt;EndNote&gt;&lt;Cite  &gt;&lt;Author&gt;MacWhinney, B.&lt;/Author&gt;&lt;Year&gt;2004&lt;/Year&gt;&lt;RecNum&gt;9794&lt;/RecNum&gt;&lt;DisplayText&gt;(MacWhinney et al., 2004)&lt;/DisplayText&gt;&lt;record&gt;&lt;database name="allrefs.enl" path="/Files/EndNote/allrefs.enl"&gt;allrefs.enl&lt;/database&gt;&lt;source-app name="EndNote" version="14.0"&gt;EndNote&lt;/source-app&gt;&lt;rec-number&gt;9794&lt;/rec-number&gt;&lt;foreign-keys&gt;&lt;key app="EN" db-id="d90vsetwrpftsqew0f8pa5d3eepftezf5xpp"&gt;9794&lt;/key&gt;&lt;/foreign-keys&gt;&lt;ref-type name="Book Section"&gt;5&lt;/ref-type&gt;&lt;contributors&gt;&lt;authors&gt;&lt;author&gt;&lt;style face="normal" font="default" size="100%"&gt;MacWhinney, B.&lt;/style&gt;&lt;/author&gt;&lt;author&gt;&lt;style face="normal" font="default" size="100%"&gt;Martell, C.&lt;/style&gt;&lt;/author&gt;&lt;author&gt;&lt;style face="normal" font="default" size="100%"&gt;Schmidt, T.&lt;/style&gt;&lt;/author&gt;&lt;author&gt;&lt;style face="normal" font="default" size="100%"&gt;Wagner, J.&lt;/style&gt;&lt;/author&gt;&lt;author&gt;&lt;style face="normal" font="default" size="100%"&gt;Wittenburgh, P.&lt;/style&gt;&lt;/author&gt;&lt;author&gt;&lt;style face="normal" font="default" size="100%"&gt;Brugman, H.&lt;/style&gt;&lt;/author&gt;&lt;author&gt;&lt;style face="normal" font="default" size="100%"&gt;Broeder, D.&lt;/style&gt;&lt;/author&gt;&lt;author&gt;&lt;style face="normal" font="default" size="100%"&gt;Hoffert, E.&lt;/style&gt;&lt;/author&gt;&lt;/authors&gt;&lt;/contributors&gt;&lt;titles&gt;&lt;title&gt;&lt;style face="normal" font="default" size="100%"&gt;Collaborative commentary: Opening up spoken language databases&lt;/style&gt;&lt;/title&gt;&lt;secondary-title&gt;&lt;style face="normal" font="default" size="100%"&gt;LREC 2004&lt;/style&gt;&lt;/secondary-title&gt;&lt;/titles&gt;&lt;pages&gt;&lt;style face="normal" font="default" size="100%"&gt;11-15&lt;/style&gt;&lt;/pages&gt;&lt;dates&gt;&lt;year&gt;&lt;style face="normal" font="default" size="100%"&gt;2004&lt;/style&gt;&lt;/year&gt;&lt;/dates&gt;&lt;pub-location&gt;&lt;style face="normal" font="default" size="100%"&gt;Lisbon&lt;/style&gt;&lt;/pub-location&gt;&lt;publisher&gt;&lt;style face="normal" font="default" size="100%"&gt;LREC&lt;/style&gt;&lt;/publisher&gt;&lt;urls/&gt;&lt;/record&gt;&lt;/Cite&gt;&lt;/EndNote&gt;</w:instrText>
      </w:r>
      <w:r>
        <w:rPr/>
        <w:fldChar w:fldCharType="separate" w:fldLock="0"/>
      </w:r>
      <w:r>
        <w:rPr>
          <w:rtl w:val="0"/>
        </w:rPr>
        <w:t>(MacWhinney et al., 2004)</w:t>
      </w:r>
      <w:r>
        <w:rPr/>
        <w:fldChar w:fldCharType="end" w:fldLock="0"/>
      </w:r>
      <w:r>
        <w:rPr>
          <w:rStyle w:val="Default Paragraph Font.0"/>
          <w:rtl w:val="0"/>
        </w:rPr>
        <w:t xml:space="preserve"> much like the DIVER system (</w:t>
      </w:r>
      <w:r>
        <w:rPr>
          <w:rStyle w:val="Hyperlink.0"/>
        </w:rPr>
        <w:fldChar w:fldCharType="begin" w:fldLock="0"/>
      </w:r>
      <w:r>
        <w:rPr>
          <w:rStyle w:val="Hyperlink.0"/>
        </w:rPr>
        <w:instrText xml:space="preserve"> HYPERLINK "http://diver.stanford.edu/contact.html"</w:instrText>
      </w:r>
      <w:r>
        <w:rPr>
          <w:rStyle w:val="Hyperlink.0"/>
        </w:rPr>
        <w:fldChar w:fldCharType="separate" w:fldLock="0"/>
      </w:r>
      <w:r>
        <w:rPr>
          <w:rStyle w:val="Hyperlink.0"/>
          <w:rtl w:val="0"/>
        </w:rPr>
        <w:t>http://diver.stanford.edu/contact.html</w:t>
      </w:r>
      <w:r>
        <w:rPr/>
        <w:fldChar w:fldCharType="end" w:fldLock="0"/>
      </w:r>
      <w:r>
        <w:rPr>
          <w:rStyle w:val="Default Paragraph Font.0"/>
          <w:rtl w:val="0"/>
        </w:rPr>
        <w:t xml:space="preserve">).  Commenter provides both a browser frontend and a server database backend to link comments to the media and to each other. A prototype version of this system is linked to the prototype browser at </w:t>
      </w:r>
      <w:r>
        <w:rPr>
          <w:rStyle w:val="Hyperlink.0"/>
        </w:rPr>
        <w:fldChar w:fldCharType="begin" w:fldLock="0"/>
      </w:r>
      <w:r>
        <w:rPr>
          <w:rStyle w:val="Hyperlink.0"/>
        </w:rPr>
        <w:instrText xml:space="preserve"> HYPERLINK "http://www.talkbank.org/browser"</w:instrText>
      </w:r>
      <w:r>
        <w:rPr>
          <w:rStyle w:val="Hyperlink.0"/>
        </w:rPr>
        <w:fldChar w:fldCharType="separate" w:fldLock="0"/>
      </w:r>
      <w:r>
        <w:rPr>
          <w:rStyle w:val="Hyperlink.0"/>
          <w:rtl w:val="0"/>
        </w:rPr>
        <w:t>talkbank.org/browser</w:t>
      </w:r>
      <w:r>
        <w:rPr/>
        <w:fldChar w:fldCharType="end" w:fldLock="0"/>
      </w:r>
      <w:r>
        <w:rPr>
          <w:rStyle w:val="Default Paragraph Font.0"/>
          <w:rtl w:val="0"/>
        </w:rPr>
        <w:t xml:space="preserve">. The system will allow users to categorize and access comments by type, data, user group, and claim status. </w:t>
      </w:r>
    </w:p>
    <w:p>
      <w:pPr>
        <w:pStyle w:val="Heading 2"/>
        <w:numPr>
          <w:ilvl w:val="1"/>
          <w:numId w:val="1"/>
        </w:numPr>
        <w:bidi w:val="0"/>
        <w:rPr>
          <w:rStyle w:val="Default Paragraph Font.0"/>
          <w:sz w:val="20"/>
          <w:szCs w:val="20"/>
        </w:rPr>
      </w:pPr>
      <w:r>
        <w:rPr>
          <w:rStyle w:val="Default Paragraph Font.0"/>
          <w:rtl w:val="0"/>
          <w:lang w:val="en-US"/>
        </w:rPr>
        <w:t>Multimodal and Video Analysis</w:t>
      </w:r>
    </w:p>
    <w:p>
      <w:pPr>
        <w:pStyle w:val="Normal.0"/>
        <w:bidi w:val="0"/>
      </w:pPr>
      <w:r>
        <w:rPr>
          <w:rtl w:val="0"/>
        </w:rPr>
        <w:t>ComNet will provide unique opportunities for the development of new methods for analysis of the multimodal aspects of human communication, including the use of sign language. Many segments of the database will provide high quality transcriptions linked to linguistic, video, and content annotations. Using this rich annotation foundation, researchers will be able to align gestures and postures with changes in scenes, gaps in conversation, and many other structural features of conversational interactions and narratives. The multimodal analysis community currently relies on four major annotation tools: Anvil, ELAN, EXMaRLDA, and The Observer. (Earlier we looked at an example of a TalkBank transcript from a problem-based learning class in medical school displayed in both CLAN and ELAN.)</w:t>
      </w:r>
    </w:p>
    <w:p>
      <w:pPr>
        <w:pStyle w:val="Normal.0"/>
        <w:bidi w:val="0"/>
        <w:rPr>
          <w:rStyle w:val="Default Paragraph Font.0"/>
        </w:rPr>
      </w:pPr>
      <w:r>
        <w:rPr>
          <w:rtl w:val="0"/>
        </w:rPr>
        <w:t xml:space="preserve">In order to support efficient multimodal analysis, we must advance the state of the art in the area of  video analysis and annotation.  Here, we will rely heavily on work conducted in the Informedia Project, as directed by Howard Wactlar and Alex Hauptmann.  The following sections explain how this work  within Informedia can be extended in the ComNet framework. </w:t>
      </w:r>
    </w:p>
    <w:p>
      <w:pPr>
        <w:pStyle w:val="Normal.0"/>
        <w:bidi w:val="0"/>
        <w:rPr>
          <w:rStyle w:val="Default Paragraph Font.0"/>
        </w:rPr>
      </w:pPr>
      <w:r>
        <w:rPr>
          <w:rStyle w:val="Default Paragraph Font.0"/>
          <w:b w:val="1"/>
          <w:bCs w:val="1"/>
          <w:rtl w:val="0"/>
          <w:lang w:val="en-US"/>
        </w:rPr>
        <w:t>Video Analysis Data</w:t>
      </w:r>
      <w:r>
        <w:rPr>
          <w:rStyle w:val="Default Paragraph Font.0"/>
          <w:rtl w:val="0"/>
        </w:rPr>
        <w:t>: The video analysis community has long attempted to bridge the gap from low-level feature extraction to semantic understanding and retrieval of the communicated content. To solve this fundamental problem, we will create a large shared video database as a focused target for further analysis and evaluation. This shared database will include media, transcripts, screen text data, web text metadata, corpus metadata, shot segmentation, image features (Gabor texture, Grid Color Moment, and Edge Direction Histogram), local feature descriptors, motion features (kinetic energy, optical flow, MPEG motion vectors), audio features (FFT, SFFT, and MFCC), and characterizations of the data with the LSCOM concept ontology. Over 60 TRECVID participants have done this type of sharing of automatically extracted metadata for the non-public TRECVID collections. We will work with this community to create similar metadata for our open-access content.</w:t>
      </w:r>
    </w:p>
    <w:p>
      <w:pPr>
        <w:pStyle w:val="Normal.0"/>
        <w:bidi w:val="0"/>
        <w:rPr>
          <w:rStyle w:val="Default Paragraph Font.0"/>
        </w:rPr>
      </w:pPr>
      <w:r>
        <w:rPr>
          <w:rStyle w:val="Default Paragraph Font.0"/>
          <w:b w:val="1"/>
          <w:bCs w:val="1"/>
          <w:rtl w:val="0"/>
          <w:lang w:val="en-US"/>
        </w:rPr>
        <w:t>Video Annotation Toolkit</w:t>
      </w:r>
      <w:r>
        <w:rPr>
          <w:rStyle w:val="Default Paragraph Font.0"/>
          <w:rtl w:val="0"/>
        </w:rPr>
        <w:t xml:space="preserve">: To further bootstrap the process of annotation of the video test bank, we will provide a complete video annotation toolkit. This resource will allow researchers throughout the video community to annotate their own data, expand the concept ontology, and explore higher-level search services. We have already fielded several very effective systems, allowing annotators to efficiently label representative key frames in video, as well as longer video clips. We will make a robust version of this tool available to others early on in the project. </w:t>
      </w:r>
    </w:p>
    <w:p>
      <w:pPr>
        <w:pStyle w:val="Normal.0"/>
        <w:bidi w:val="0"/>
        <w:rPr>
          <w:rStyle w:val="Default Paragraph Font.0"/>
        </w:rPr>
      </w:pPr>
      <w:r>
        <w:rPr>
          <w:rStyle w:val="Default Paragraph Font.0"/>
          <w:b w:val="1"/>
          <w:bCs w:val="1"/>
          <w:rtl w:val="0"/>
          <w:lang w:val="en-US"/>
        </w:rPr>
        <w:t>Video Analysis Toolkit</w:t>
      </w:r>
      <w:r>
        <w:rPr>
          <w:rStyle w:val="Default Paragraph Font.0"/>
          <w:rtl w:val="0"/>
        </w:rPr>
        <w:t>: A number of researchers have expressed interest in applying our tools to their own data sets. Responding to this need, we will provide make key components of the Informedia library system available as open source, including shot detection, speech recognition, alignment, etc. This toolkit will also include modules for finding shots, labeling motions, and classifying content automatically. Using this suite, researchers can quickly customize tools, refine concept ontologies, and re-train classifiers for diverse applications. This allows further shared development of the software for analysis or services such as summarization, without having to expend many additional person-years in development.</w:t>
      </w:r>
    </w:p>
    <w:p>
      <w:pPr>
        <w:pStyle w:val="Normal.0"/>
        <w:bidi w:val="0"/>
        <w:rPr>
          <w:rStyle w:val="Default Paragraph Font.0"/>
        </w:rPr>
      </w:pPr>
      <w:r>
        <w:rPr>
          <w:rStyle w:val="Default Paragraph Font.0"/>
          <w:b w:val="1"/>
          <w:bCs w:val="1"/>
          <w:rtl w:val="0"/>
          <w:lang w:val="en-US"/>
        </w:rPr>
        <w:t>Web-based Annotation</w:t>
      </w:r>
      <w:r>
        <w:rPr>
          <w:rStyle w:val="Default Paragraph Font.0"/>
          <w:rtl w:val="0"/>
        </w:rPr>
        <w:t xml:space="preserve">: We will also make use of the cyberinfrastructure opportunity provided by the web games, such as the ESP game developed by CMU researcher Luis van Ahn </w:t>
      </w:r>
      <w:r>
        <w:rPr/>
        <w:fldChar w:fldCharType="begin" w:fldLock="0"/>
      </w:r>
      <w:r>
        <w:instrText xml:space="preserve"> ADDIN EN.CITE &lt;EndNote&gt;&lt;Cite ExcludeAuth="1" &gt;&lt;DisplayText&gt;(2006)&lt;/DisplayText&gt;&lt;record&gt;&lt;database name="allrefs.enl" path="/Files/EndNote/allrefs.enl"&gt;allrefs.enl&lt;/database&gt;&lt;source-app name="EndNote" version="14.0"&gt;EndNote&lt;/source-app&gt;&lt;rec-number&gt;10550&lt;/rec-number&gt;&lt;foreign-keys&gt;&lt;key app="EN" db-id="d90vsetwrpftsqew0f8pa5d3eepftezf5xpp"&gt;10550&lt;/key&gt;&lt;/foreign-keys&gt;&lt;ref-type name="Conference Proceedings"&gt;10&lt;/ref-type&gt;&lt;contributors&gt;&lt;authors&gt;&lt;author&gt;&lt;style face="normal" font="default" size="100%"&gt;van Ahn, Luis&lt;/style&gt;&lt;/author&gt;&lt;author&gt;&lt;style face="normal" font="default" size="100%"&gt;Kedia, Mihir&lt;/style&gt;&lt;/author&gt;&lt;author&gt;&lt;style face="normal" font="default" size="100%"&gt;Blum, Manuel&lt;/style&gt;&lt;/author&gt;&lt;/authors&gt;&lt;/contributors&gt;&lt;titles&gt;&lt;title&gt;&lt;style face="normal" font="default" size="100%"&gt;Verbosity: A game for collecting common-sense facts&lt;/style&gt;&lt;/title&gt;&lt;secondary-title&gt;&lt;style face="normal" font="default" size="100%"&gt;CHI 2006&lt;/style&gt;&lt;/secondary-title&gt;&lt;/titles&gt;&lt;dates&gt;&lt;year&gt;&lt;style face="normal" font="default" size="100%"&gt;2006&lt;/style&gt;&lt;/year&gt;&lt;/dates&gt;&lt;pub-location&gt;&lt;style face="normal" font="default" size="100%"&gt;Montréal&lt;/style&gt;&lt;/pub-location&gt;&lt;urls/&gt;&lt;/record&gt;&lt;/Cite&gt;&lt;/EndNote&gt;</w:instrText>
      </w:r>
      <w:r>
        <w:rPr/>
        <w:fldChar w:fldCharType="separate" w:fldLock="0"/>
      </w:r>
      <w:r>
        <w:rPr>
          <w:rtl w:val="0"/>
        </w:rPr>
        <w:t>(2006)</w:t>
      </w:r>
      <w:r>
        <w:rPr/>
        <w:fldChar w:fldCharType="end" w:fldLock="0"/>
      </w:r>
      <w:r>
        <w:rPr>
          <w:rStyle w:val="Default Paragraph Font.0"/>
          <w:rtl w:val="0"/>
        </w:rPr>
        <w:t xml:space="preserve">, to allow collaborative annotation of video on the web. For this task we again expect the undergraduate students as well as the high school students participating in the summer programs at CMU to contribute ideas and implement code. Since this generation is very much in tune with the characteristics of social networks of Web 2.0, we expect enthusiastic involvement in this project. This work builds on the notion of </w:t>
      </w:r>
      <w:r>
        <w:rPr>
          <w:rStyle w:val="Default Paragraph Font.0"/>
          <w:rtl w:val="0"/>
        </w:rPr>
        <w:t>“</w:t>
      </w:r>
      <w:r>
        <w:rPr>
          <w:rStyle w:val="Default Paragraph Font.0"/>
          <w:rtl w:val="0"/>
        </w:rPr>
        <w:t>Human Computation</w:t>
      </w:r>
      <w:r>
        <w:rPr>
          <w:rStyle w:val="Default Paragraph Font.0"/>
          <w:rtl w:val="0"/>
        </w:rPr>
        <w:t>”</w:t>
      </w:r>
      <w:r>
        <w:rPr>
          <w:rStyle w:val="Default Paragraph Font.0"/>
          <w:rtl w:val="0"/>
        </w:rPr>
        <w:t xml:space="preserve">, whereby manual work is efficiently spread out over large numbers of people on the Internet, hereby providing innovative solutions for collaborative annotation of web video. Validation and verification of this annotation effort is done through duplication, which means annotations are only accepted after multiple people independently create the same label. This has been highly effective for image annotation and we will extend this annotation principle to our video collections. </w:t>
      </w:r>
    </w:p>
    <w:p>
      <w:pPr>
        <w:pStyle w:val="Normal.0"/>
        <w:bidi w:val="0"/>
        <w:rPr>
          <w:rStyle w:val="Default Paragraph Font.0"/>
        </w:rPr>
      </w:pPr>
      <w:r>
        <w:rPr>
          <w:rStyle w:val="Default Paragraph Font.0"/>
          <w:b w:val="1"/>
          <w:bCs w:val="1"/>
          <w:rtl w:val="0"/>
          <w:lang w:val="en-US"/>
        </w:rPr>
        <w:t>Video Annotation Evaluation:</w:t>
      </w:r>
      <w:r>
        <w:rPr>
          <w:rStyle w:val="Default Paragraph Font.0"/>
          <w:rtl w:val="0"/>
        </w:rPr>
        <w:t xml:space="preserve"> Finally, to test the efficacy of new annotations against the video test bank, we will provide a benchmark set of tasks for video analysis evaluation.</w:t>
      </w:r>
    </w:p>
    <w:p>
      <w:pPr>
        <w:pStyle w:val="Heading 2"/>
        <w:numPr>
          <w:ilvl w:val="1"/>
          <w:numId w:val="1"/>
        </w:numPr>
        <w:bidi w:val="0"/>
        <w:rPr>
          <w:rStyle w:val="Default Paragraph Font.0"/>
          <w:sz w:val="20"/>
          <w:szCs w:val="20"/>
        </w:rPr>
      </w:pPr>
      <w:r>
        <w:rPr>
          <w:rStyle w:val="Default Paragraph Font.0"/>
          <w:rtl w:val="0"/>
          <w:lang w:val="en-US"/>
        </w:rPr>
        <w:t>Language Communities</w:t>
      </w:r>
    </w:p>
    <w:p>
      <w:pPr>
        <w:pStyle w:val="Normal.0"/>
        <w:bidi w:val="0"/>
        <w:rPr>
          <w:rStyle w:val="Default Paragraph Font.0"/>
        </w:rPr>
      </w:pPr>
      <w:r>
        <w:rPr>
          <w:rStyle w:val="Default Paragraph Font.0"/>
          <w:rtl w:val="0"/>
        </w:rPr>
        <w:t xml:space="preserve">ComNet will also construct general methods for creating data and methods useful for specific language communities.  We will work with four types of communities: </w:t>
      </w:r>
    </w:p>
    <w:p>
      <w:pPr>
        <w:pStyle w:val="Normal.0"/>
        <w:numPr>
          <w:ilvl w:val="0"/>
          <w:numId w:val="17"/>
        </w:numPr>
        <w:rPr>
          <w:rStyle w:val="Default Paragraph Font.0"/>
          <w:sz w:val="20"/>
          <w:szCs w:val="20"/>
          <w:lang w:val="en-US"/>
        </w:rPr>
      </w:pPr>
      <w:r>
        <w:rPr>
          <w:rStyle w:val="Default Paragraph Font.0"/>
          <w:rtl w:val="0"/>
          <w:lang w:val="en-US"/>
        </w:rPr>
        <w:t>non-endangered U.S. minority languages, such as Spanish and Hawaiian.</w:t>
      </w:r>
    </w:p>
    <w:p>
      <w:pPr>
        <w:pStyle w:val="Normal.0"/>
        <w:numPr>
          <w:ilvl w:val="0"/>
          <w:numId w:val="17"/>
        </w:numPr>
        <w:rPr>
          <w:rStyle w:val="Default Paragraph Font.0"/>
          <w:sz w:val="20"/>
          <w:szCs w:val="20"/>
          <w:lang w:val="en-US"/>
        </w:rPr>
      </w:pPr>
      <w:r>
        <w:rPr>
          <w:rStyle w:val="Default Paragraph Font.0"/>
          <w:rtl w:val="0"/>
          <w:lang w:val="en-US"/>
        </w:rPr>
        <w:t>endangered U.S. minority languages, such as I</w:t>
      </w:r>
      <w:r>
        <w:rPr>
          <w:rStyle w:val="Default Paragraph Font.0"/>
          <w:rtl w:val="0"/>
          <w:lang w:val="en-US"/>
        </w:rPr>
        <w:t>ñ</w:t>
      </w:r>
      <w:r>
        <w:rPr>
          <w:rStyle w:val="Default Paragraph Font.0"/>
          <w:rtl w:val="0"/>
          <w:lang w:val="en-US"/>
        </w:rPr>
        <w:t>upiaq and Ojibwe.</w:t>
      </w:r>
    </w:p>
    <w:p>
      <w:pPr>
        <w:pStyle w:val="Normal.0"/>
        <w:numPr>
          <w:ilvl w:val="0"/>
          <w:numId w:val="17"/>
        </w:numPr>
        <w:rPr>
          <w:rStyle w:val="Default Paragraph Font.0"/>
          <w:sz w:val="20"/>
          <w:szCs w:val="20"/>
          <w:lang w:val="en-US"/>
        </w:rPr>
      </w:pPr>
      <w:r>
        <w:rPr>
          <w:rStyle w:val="Default Paragraph Font.0"/>
          <w:rtl w:val="0"/>
          <w:lang w:val="en-US"/>
        </w:rPr>
        <w:t>non-endangered non-U.S. languages, such as Mapudungan, Welsh, Aymara, and Nahuatl.</w:t>
      </w:r>
    </w:p>
    <w:p>
      <w:pPr>
        <w:pStyle w:val="Normal.0"/>
        <w:numPr>
          <w:ilvl w:val="0"/>
          <w:numId w:val="17"/>
        </w:numPr>
        <w:rPr>
          <w:rStyle w:val="Default Paragraph Font.0"/>
          <w:sz w:val="20"/>
          <w:szCs w:val="20"/>
          <w:lang w:val="en-US"/>
        </w:rPr>
      </w:pPr>
      <w:r>
        <w:rPr>
          <w:rStyle w:val="Default Paragraph Font.0"/>
          <w:rtl w:val="0"/>
          <w:lang w:val="en-US"/>
        </w:rPr>
        <w:t>endangered non-U.S. minority languages, such as Atayal, Cree.</w:t>
      </w:r>
    </w:p>
    <w:p>
      <w:pPr>
        <w:pStyle w:val="Normal.0"/>
        <w:ind w:firstLine="0"/>
        <w:rPr>
          <w:rStyle w:val="Default Paragraph Font.0"/>
        </w:rPr>
      </w:pPr>
      <w:r>
        <w:rPr>
          <w:rStyle w:val="Default Paragraph Font.0"/>
          <w:rtl w:val="0"/>
          <w:lang w:val="en-US"/>
        </w:rPr>
        <w:t>The importance of work in language preservation for endangered languages is widely recognized. Without intervention, more than half of the world</w:t>
      </w:r>
      <w:r>
        <w:rPr>
          <w:rStyle w:val="Default Paragraph Font.0"/>
          <w:rtl w:val="0"/>
          <w:lang w:val="en-US"/>
        </w:rPr>
        <w:t>’</w:t>
      </w:r>
      <w:r>
        <w:rPr>
          <w:rStyle w:val="Default Paragraph Font.0"/>
          <w:rtl w:val="0"/>
          <w:lang w:val="en-US"/>
        </w:rPr>
        <w:t xml:space="preserve">s 7000 spoken languages are not expected to survive this century </w:t>
      </w:r>
      <w:r>
        <w:rPr/>
        <w:fldChar w:fldCharType="begin" w:fldLock="0"/>
      </w:r>
      <w:r>
        <w:instrText xml:space="preserve"> ADDIN EN.CITE &lt;EndNote&gt;&lt;Cite  &gt;&lt;Author&gt;Crystal, D.&lt;/Author&gt;&lt;Year&gt;2000&lt;/Year&gt;&lt;RecNum&gt;10812&lt;/RecNum&gt;&lt;DisplayText&gt;(Crystal, 2000)&lt;/DisplayText&gt;&lt;record&gt;&lt;database name="allrefs.enl" path="/Files/EndNote/allrefs.enl"&gt;allrefs.enl&lt;/database&gt;&lt;source-app name="EndNote" version="14.0"&gt;EndNote&lt;/source-app&gt;&lt;rec-number&gt;10812&lt;/rec-number&gt;&lt;foreign-keys&gt;&lt;key app="EN" db-id="d90vsetwrpftsqew0f8pa5d3eepftezf5xpp"&gt;10812&lt;/key&gt;&lt;/foreign-keys&gt;&lt;ref-type name="Book"&gt;6&lt;/ref-type&gt;&lt;contributors&gt;&lt;authors&gt;&lt;author&gt;&lt;style face="normal" font="default" size="100%"&gt;Crystal, D.&lt;/style&gt;&lt;/author&gt;&lt;/authors&gt;&lt;/contributors&gt;&lt;titles&gt;&lt;title&gt;&lt;style face="normal" font="default" size="100%"&gt;Language death&lt;/style&gt;&lt;/title&gt;&lt;/titles&gt;&lt;dates&gt;&lt;year&gt;&lt;style face="normal" font="default" size="100%"&gt;2000&lt;/style&gt;&lt;/year&gt;&lt;/dates&gt;&lt;pub-location&gt;&lt;style face="normal" font="default" size="100%"&gt;Cambridge&lt;/style&gt;&lt;/pub-location&gt;&lt;publisher&gt;&lt;style face="normal" font="default" size="100%"&gt;Cambridge University Press&lt;/style&gt;&lt;/publisher&gt;&lt;urls/&gt;&lt;/record&gt;&lt;/Cite&gt;&lt;/EndNote&gt;</w:instrText>
      </w:r>
      <w:r>
        <w:rPr/>
        <w:fldChar w:fldCharType="separate" w:fldLock="0"/>
      </w:r>
      <w:r>
        <w:rPr>
          <w:rtl w:val="0"/>
          <w:lang w:val="en-US"/>
        </w:rPr>
        <w:t>(Crystal, 2000)</w:t>
      </w:r>
      <w:r>
        <w:rPr/>
        <w:fldChar w:fldCharType="end" w:fldLock="0"/>
      </w:r>
      <w:r>
        <w:rPr>
          <w:rStyle w:val="Default Paragraph Font.0"/>
          <w:rtl w:val="0"/>
          <w:lang w:val="en-US"/>
        </w:rPr>
        <w:t xml:space="preserve">, and many others, even those with millions of speakers, are struggling to maintain a state of stable bilingualism within a surrounding dominant language community. Many first language communities already have their own websites where group members can access culturally relevant materials.  We will work with the developers of these sites to make them interoperable with ComNet tools and formats, while still making sure that communities maintain full control over their sites.  Each site will have resources that will allow the target communities to construct social networking systems, cultural documentation, and links to community activities </w:t>
      </w:r>
      <w:r>
        <w:rPr>
          <w:rStyle w:val="Default Paragraph Font.0"/>
          <w:rtl w:val="0"/>
          <w:lang w:val="en-US"/>
        </w:rPr>
        <w:t xml:space="preserve">– </w:t>
      </w:r>
      <w:r>
        <w:rPr>
          <w:rStyle w:val="Default Paragraph Font.0"/>
          <w:rtl w:val="0"/>
          <w:lang w:val="en-US"/>
        </w:rPr>
        <w:t xml:space="preserve">all in the local language.  The social networking software will be developed using open source versions of Facebook, role-playing games, and virtual worlds. These materials will rely on methods for linking transcripts to media, so that speakers can engage in direct dialogs over the web, while still producing written records of their conversations. Our language communities will also use facilities like the ComNet Commenter system to engage in blogging and commentary in the local language with all data being stored on the servers.  Apart from these social uses of the web, we will also emphasize tools that assist in language learning and maintenance.  These include on-line dictionaries and methods for grammatical analysis, as well as text-to-speech systems.  We will also deploy local versions of the various language learning software methods developed by MacWhinney and colleagues at </w:t>
      </w:r>
      <w:r>
        <w:rPr>
          <w:rStyle w:val="Hyperlink.0"/>
        </w:rPr>
        <w:fldChar w:fldCharType="begin" w:fldLock="0"/>
      </w:r>
      <w:r>
        <w:rPr>
          <w:rStyle w:val="Hyperlink.0"/>
        </w:rPr>
        <w:instrText xml:space="preserve"> HYPERLINK "http://talkbank.org/pslc"</w:instrText>
      </w:r>
      <w:r>
        <w:rPr>
          <w:rStyle w:val="Hyperlink.0"/>
        </w:rPr>
        <w:fldChar w:fldCharType="separate" w:fldLock="0"/>
      </w:r>
      <w:r>
        <w:rPr>
          <w:rStyle w:val="Hyperlink.0"/>
          <w:rtl w:val="0"/>
          <w:lang w:val="en-US"/>
        </w:rPr>
        <w:t>http://talkbank.org/pslc</w:t>
      </w:r>
      <w:r>
        <w:rPr/>
        <w:fldChar w:fldCharType="end" w:fldLock="0"/>
      </w:r>
      <w:r>
        <w:rPr>
          <w:rStyle w:val="Default Paragraph Font.0"/>
          <w:rtl w:val="0"/>
          <w:lang w:val="en-US"/>
        </w:rPr>
        <w:t>.</w:t>
      </w:r>
    </w:p>
    <w:p>
      <w:pPr>
        <w:pStyle w:val="Normal.0"/>
        <w:bidi w:val="0"/>
        <w:rPr>
          <w:rStyle w:val="Default Paragraph Font.0"/>
        </w:rPr>
      </w:pPr>
      <w:r>
        <w:rPr>
          <w:rStyle w:val="Default Paragraph Font.0"/>
          <w:rtl w:val="0"/>
        </w:rPr>
        <w:t xml:space="preserve">From the materials constructed by these communities, we will develop corpora for each language formatted in ComNet XML.  These corpora will then be used for the development of orthographic and linguistic standardization, spelling checkers, on-line dictionaries, speech recognition and synthesis, information retrieval, telephone dialogue systems, and machine translation. </w:t>
      </w:r>
    </w:p>
    <w:p>
      <w:pPr>
        <w:pStyle w:val="Normal.0"/>
        <w:ind w:firstLine="0"/>
        <w:rPr>
          <w:rStyle w:val="Default Paragraph Font.0"/>
        </w:rPr>
      </w:pPr>
    </w:p>
    <w:p>
      <w:pPr>
        <w:pStyle w:val="Heading 1"/>
        <w:numPr>
          <w:ilvl w:val="0"/>
          <w:numId w:val="1"/>
        </w:numPr>
        <w:bidi w:val="0"/>
        <w:rPr>
          <w:rStyle w:val="Default Paragraph Font.0"/>
          <w:sz w:val="20"/>
          <w:szCs w:val="20"/>
        </w:rPr>
      </w:pPr>
      <w:r>
        <w:rPr>
          <w:rStyle w:val="Default Paragraph Font.0"/>
          <w:rtl w:val="0"/>
          <w:lang w:val="it-IT"/>
        </w:rPr>
        <w:t>Conclusion</w:t>
      </w:r>
    </w:p>
    <w:p>
      <w:pPr>
        <w:pStyle w:val="Normal.0"/>
        <w:bidi w:val="0"/>
        <w:rPr>
          <w:rStyle w:val="Default Paragraph Font.0"/>
        </w:rPr>
      </w:pPr>
      <w:r>
        <w:rPr>
          <w:rStyle w:val="Default Paragraph Font.0"/>
          <w:rtl w:val="0"/>
        </w:rPr>
        <w:t xml:space="preserve">By including a focus on multimedia interactions linked to transcripts, corpus linguistics can vastly expand its horizons.  This expansion will rely on several continuing developments.  First, we need to develop easily used methods for each of the ten analytic methods we have examined, including lexical analyses, QDA, automatic tagging, language profiles, group comparisons, change scores, error analysis, feedback studies, </w:t>
      </w:r>
      <w:r>
        <w:rPr>
          <w:rtl w:val="0"/>
        </w:rPr>
        <w:t xml:space="preserve">conversation analysis, </w:t>
      </w:r>
      <w:r>
        <w:rPr>
          <w:rStyle w:val="Default Paragraph Font.0"/>
          <w:rtl w:val="0"/>
        </w:rPr>
        <w:t>and modeling. Second, we need to work together to construct a unified database for language studies and related sciences.  In accord with the proposed ComNet structure, this database must be grounded on the principles of open access, data-sharing, interoperability, and integrated structure.  It must provide powerful tools for searching, multilinguality, and multimedia analysis.</w:t>
      </w:r>
    </w:p>
    <w:p>
      <w:pPr>
        <w:pStyle w:val="Normal.0"/>
        <w:bidi w:val="0"/>
        <w:rPr>
          <w:rStyle w:val="Default Paragraph Font.0"/>
        </w:rPr>
      </w:pPr>
      <w:r>
        <w:rPr>
          <w:rStyle w:val="Default Paragraph Font.0"/>
          <w:rtl w:val="0"/>
        </w:rPr>
        <w:t>If we can build this infrastructure, we will be able to explore more deeply the key questions underlying the structure and functioning of language, as it emerges from the intermeshing of scores of  processes operative on eight major timeframes.</w:t>
      </w:r>
    </w:p>
    <w:p>
      <w:pPr>
        <w:pStyle w:val="Norm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0"/>
        </w:tabs>
        <w:ind w:firstLine="0"/>
        <w:rPr>
          <w:rStyle w:val="Default Paragraph Font.0"/>
        </w:rPr>
      </w:pPr>
    </w:p>
    <w:p>
      <w:pPr>
        <w:pStyle w:val="Heading 1"/>
        <w:numPr>
          <w:ilvl w:val="0"/>
          <w:numId w:val="1"/>
        </w:numPr>
        <w:bidi w:val="0"/>
        <w:rPr>
          <w:rStyle w:val="Default Paragraph Font.0"/>
          <w:sz w:val="20"/>
          <w:szCs w:val="20"/>
        </w:rPr>
      </w:pPr>
      <w:r>
        <w:rPr>
          <w:rStyle w:val="Default Paragraph Font.0"/>
          <w:rtl w:val="0"/>
          <w:lang w:val="fr-FR"/>
        </w:rPr>
        <w:t>Bibliography</w:t>
      </w:r>
    </w:p>
    <w:p>
      <w:pPr>
        <w:pStyle w:val="Bibliography"/>
      </w:pPr>
      <w:r>
        <w:rPr>
          <w:rFonts w:ascii="Times New Roman" w:cs="Times New Roman" w:hAnsi="Times New Roman" w:eastAsia="Times New Roman"/>
          <w:sz w:val="20"/>
          <w:szCs w:val="20"/>
        </w:rPr>
        <w:fldChar w:fldCharType="begin" w:fldLock="0"/>
      </w:r>
      <w:r>
        <w:rPr>
          <w:rFonts w:ascii="Times New Roman" w:cs="Times New Roman" w:hAnsi="Times New Roman" w:eastAsia="Times New Roman"/>
          <w:sz w:val="20"/>
          <w:szCs w:val="20"/>
        </w:rPr>
        <w:instrText xml:space="preserve"> ADDIN EN.REFLIST </w:instrText>
      </w:r>
      <w:r>
        <w:rPr>
          <w:rFonts w:ascii="Times New Roman" w:cs="Times New Roman" w:hAnsi="Times New Roman" w:eastAsia="Times New Roman"/>
          <w:sz w:val="20"/>
          <w:szCs w:val="20"/>
        </w:rPr>
        <w:fldChar w:fldCharType="separate" w:fldLock="0"/>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it-IT"/>
        </w:rPr>
        <w:t xml:space="preserve">Abiteboul, S., Buneman, P., &amp; Suciu, D. (1999). </w:t>
      </w:r>
      <w:r>
        <w:rPr>
          <w:rFonts w:ascii="Times New Roman" w:hAnsi="Times New Roman"/>
          <w:i w:val="1"/>
          <w:iCs w:val="1"/>
          <w:sz w:val="20"/>
          <w:szCs w:val="20"/>
          <w:rtl w:val="0"/>
          <w:lang w:val="en-US"/>
        </w:rPr>
        <w:t>Data  on the web:  From relations to semistructured data and XML</w:t>
      </w:r>
      <w:r>
        <w:rPr>
          <w:rFonts w:ascii="Times New Roman" w:hAnsi="Times New Roman"/>
          <w:sz w:val="20"/>
          <w:szCs w:val="20"/>
          <w:rtl w:val="0"/>
          <w:lang w:val="de-DE"/>
        </w:rPr>
        <w:t>: Morgan Kaufmann.</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Ashley, K. (1991). </w:t>
      </w:r>
      <w:r>
        <w:rPr>
          <w:rFonts w:ascii="Times New Roman" w:hAnsi="Times New Roman"/>
          <w:i w:val="1"/>
          <w:iCs w:val="1"/>
          <w:sz w:val="20"/>
          <w:szCs w:val="20"/>
          <w:rtl w:val="0"/>
          <w:lang w:val="en-US"/>
        </w:rPr>
        <w:t>Modeling legal arguments</w:t>
      </w:r>
      <w:r>
        <w:rPr>
          <w:rFonts w:ascii="Times New Roman" w:hAnsi="Times New Roman"/>
          <w:sz w:val="20"/>
          <w:szCs w:val="20"/>
          <w:rtl w:val="0"/>
          <w:lang w:val="en-US"/>
        </w:rPr>
        <w:t>. Cambridge, MA: M.I.T.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Bates, E., &amp; Carnevale, G. (1993). New directions in research on language development. </w:t>
      </w:r>
      <w:r>
        <w:rPr>
          <w:rFonts w:ascii="Times New Roman" w:hAnsi="Times New Roman"/>
          <w:i w:val="1"/>
          <w:iCs w:val="1"/>
          <w:sz w:val="20"/>
          <w:szCs w:val="20"/>
          <w:rtl w:val="0"/>
          <w:lang w:val="en-US"/>
        </w:rPr>
        <w:t>Developmental Review, 13</w:t>
      </w:r>
      <w:r>
        <w:rPr>
          <w:rFonts w:ascii="Times New Roman" w:hAnsi="Times New Roman"/>
          <w:sz w:val="20"/>
          <w:szCs w:val="20"/>
          <w:rtl w:val="0"/>
        </w:rPr>
        <w:t xml:space="preserve">, 436-470.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Bates, E., &amp; MacWhinney, B. (1989). Functionalism and the Competition Model. In B. MacWhinney &amp; E. Bates (Eds.), </w:t>
      </w:r>
      <w:r>
        <w:rPr>
          <w:rFonts w:ascii="Times New Roman" w:hAnsi="Times New Roman"/>
          <w:i w:val="1"/>
          <w:iCs w:val="1"/>
          <w:sz w:val="20"/>
          <w:szCs w:val="20"/>
          <w:rtl w:val="0"/>
          <w:lang w:val="en-US"/>
        </w:rPr>
        <w:t>The crosslinguistic study of sentence processing</w:t>
      </w:r>
      <w:r>
        <w:rPr>
          <w:rFonts w:ascii="Times New Roman" w:hAnsi="Times New Roman"/>
          <w:sz w:val="20"/>
          <w:szCs w:val="20"/>
          <w:rtl w:val="0"/>
          <w:lang w:val="en-US"/>
        </w:rPr>
        <w:t xml:space="preserve"> (pp. 3-73). New York: Cambridge University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Bellugi, U., Poizner, H., &amp; Klima, E. S. (1989). Language, modality and the brain. </w:t>
      </w:r>
      <w:r>
        <w:rPr>
          <w:rFonts w:ascii="Times New Roman" w:hAnsi="Times New Roman"/>
          <w:i w:val="1"/>
          <w:iCs w:val="1"/>
          <w:sz w:val="20"/>
          <w:szCs w:val="20"/>
          <w:rtl w:val="0"/>
          <w:lang w:val="en-US"/>
        </w:rPr>
        <w:t>Trends in Neuroscience, 12</w:t>
      </w:r>
      <w:r>
        <w:rPr>
          <w:rFonts w:ascii="Times New Roman" w:hAnsi="Times New Roman"/>
          <w:sz w:val="20"/>
          <w:szCs w:val="20"/>
          <w:rtl w:val="0"/>
        </w:rPr>
        <w:t xml:space="preserve">(10), 380-388.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Biber, D., Conrad, S., &amp; Reppen, R. (1994). Corpus-based approaches to issues in applied linguistics. </w:t>
      </w:r>
      <w:r>
        <w:rPr>
          <w:rFonts w:ascii="Times New Roman" w:hAnsi="Times New Roman"/>
          <w:i w:val="1"/>
          <w:iCs w:val="1"/>
          <w:sz w:val="20"/>
          <w:szCs w:val="20"/>
          <w:rtl w:val="0"/>
          <w:lang w:val="en-US"/>
        </w:rPr>
        <w:t>Applied Linguistics, 15</w:t>
      </w:r>
      <w:r>
        <w:rPr>
          <w:rFonts w:ascii="Times New Roman" w:hAnsi="Times New Roman"/>
          <w:sz w:val="20"/>
          <w:szCs w:val="20"/>
          <w:rtl w:val="0"/>
        </w:rPr>
        <w:t xml:space="preserve">, 169-189.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Bird, S., &amp; Liberman, M. (2001). A formal framework for linguistic annotation. </w:t>
      </w:r>
      <w:r>
        <w:rPr>
          <w:rFonts w:ascii="Times New Roman" w:hAnsi="Times New Roman"/>
          <w:i w:val="1"/>
          <w:iCs w:val="1"/>
          <w:sz w:val="20"/>
          <w:szCs w:val="20"/>
          <w:rtl w:val="0"/>
          <w:lang w:val="en-US"/>
        </w:rPr>
        <w:t>Speech Communication, 33</w:t>
      </w:r>
      <w:r>
        <w:rPr>
          <w:rFonts w:ascii="Times New Roman" w:hAnsi="Times New Roman"/>
          <w:sz w:val="20"/>
          <w:szCs w:val="20"/>
          <w:rtl w:val="0"/>
        </w:rPr>
        <w:t xml:space="preserve">, 23-60.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Blanchard, D., Heinz, J., &amp; Golinkoff, R. (2010). Modeling the contribution of phonotactic cues to the problem of word segmentation. </w:t>
      </w:r>
      <w:r>
        <w:rPr>
          <w:rFonts w:ascii="Times New Roman" w:hAnsi="Times New Roman"/>
          <w:i w:val="1"/>
          <w:iCs w:val="1"/>
          <w:sz w:val="20"/>
          <w:szCs w:val="20"/>
          <w:rtl w:val="0"/>
          <w:lang w:val="en-US"/>
        </w:rPr>
        <w:t>Journal of Child Language, 37</w:t>
      </w:r>
      <w:r>
        <w:rPr>
          <w:rFonts w:ascii="Times New Roman" w:hAnsi="Times New Roman"/>
          <w:sz w:val="20"/>
          <w:szCs w:val="20"/>
          <w:rtl w:val="0"/>
        </w:rPr>
        <w:t xml:space="preserve">, 487-511.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Bohannon, N., MacWhinney, B., &amp; Snow, C. (1990). No negative evidence revisited: Beyond learnability or who has to prove what to whom. </w:t>
      </w:r>
      <w:r>
        <w:rPr>
          <w:rFonts w:ascii="Times New Roman" w:hAnsi="Times New Roman"/>
          <w:i w:val="1"/>
          <w:iCs w:val="1"/>
          <w:sz w:val="20"/>
          <w:szCs w:val="20"/>
          <w:rtl w:val="0"/>
          <w:lang w:val="en-US"/>
        </w:rPr>
        <w:t>Developmental Psychology, 26</w:t>
      </w:r>
      <w:r>
        <w:rPr>
          <w:rFonts w:ascii="Times New Roman" w:hAnsi="Times New Roman"/>
          <w:sz w:val="20"/>
          <w:szCs w:val="20"/>
          <w:rtl w:val="0"/>
        </w:rPr>
        <w:t xml:space="preserve">, 221-226.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Brown, P. (2001). Learning to talk about motion UP and DOWN in Tzeltal: is there a language-specific bias for verb learning? In M. Bowerman &amp; S. Levinson (Eds.), </w:t>
      </w:r>
      <w:r>
        <w:rPr>
          <w:rFonts w:ascii="Times New Roman" w:hAnsi="Times New Roman"/>
          <w:i w:val="1"/>
          <w:iCs w:val="1"/>
          <w:sz w:val="20"/>
          <w:szCs w:val="20"/>
          <w:rtl w:val="0"/>
          <w:lang w:val="en-US"/>
        </w:rPr>
        <w:t>Language acquisition and conceptual development</w:t>
      </w:r>
      <w:r>
        <w:rPr>
          <w:rFonts w:ascii="Times New Roman" w:hAnsi="Times New Roman"/>
          <w:sz w:val="20"/>
          <w:szCs w:val="20"/>
          <w:rtl w:val="0"/>
          <w:lang w:val="en-US"/>
        </w:rPr>
        <w:t>. New York: Cambridge University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Brown, P., &amp; Levinson, S. (1978). Universals in language usage: Politeness phenomena. In E. Goody (Ed.), </w:t>
      </w:r>
      <w:r>
        <w:rPr>
          <w:rFonts w:ascii="Times New Roman" w:hAnsi="Times New Roman"/>
          <w:i w:val="1"/>
          <w:iCs w:val="1"/>
          <w:sz w:val="20"/>
          <w:szCs w:val="20"/>
          <w:rtl w:val="0"/>
          <w:lang w:val="en-US"/>
        </w:rPr>
        <w:t>Questions and politeness</w:t>
      </w:r>
      <w:r>
        <w:rPr>
          <w:rFonts w:ascii="Times New Roman" w:hAnsi="Times New Roman"/>
          <w:sz w:val="20"/>
          <w:szCs w:val="20"/>
          <w:rtl w:val="0"/>
          <w:lang w:val="en-US"/>
        </w:rPr>
        <w:t>. Cambridge: Cambridge University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Brown, R., &amp; Gilman, A. (1960). The pronouns of power and solidarity. In T. A. Sebeok (Ed.), </w:t>
      </w:r>
      <w:r>
        <w:rPr>
          <w:rFonts w:ascii="Times New Roman" w:hAnsi="Times New Roman"/>
          <w:i w:val="1"/>
          <w:iCs w:val="1"/>
          <w:sz w:val="20"/>
          <w:szCs w:val="20"/>
          <w:rtl w:val="0"/>
          <w:lang w:val="en-US"/>
        </w:rPr>
        <w:t>Style in language</w:t>
      </w:r>
      <w:r>
        <w:rPr>
          <w:rFonts w:ascii="Times New Roman" w:hAnsi="Times New Roman"/>
          <w:sz w:val="20"/>
          <w:szCs w:val="20"/>
          <w:rtl w:val="0"/>
          <w:lang w:val="pt-PT"/>
        </w:rPr>
        <w:t>: MIT Press.</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Bybee, J. (2003). </w:t>
      </w:r>
      <w:r>
        <w:rPr>
          <w:rFonts w:ascii="Times New Roman" w:hAnsi="Times New Roman"/>
          <w:i w:val="1"/>
          <w:iCs w:val="1"/>
          <w:sz w:val="20"/>
          <w:szCs w:val="20"/>
          <w:rtl w:val="0"/>
          <w:lang w:val="en-US"/>
        </w:rPr>
        <w:t>Phonology and Language Use</w:t>
      </w:r>
      <w:r>
        <w:rPr>
          <w:rFonts w:ascii="Times New Roman" w:hAnsi="Times New Roman"/>
          <w:sz w:val="20"/>
          <w:szCs w:val="20"/>
          <w:rtl w:val="0"/>
          <w:lang w:val="en-US"/>
        </w:rPr>
        <w:t>. New York: Cambridge University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Bybee, J., &amp; Hopper, P. (2001). </w:t>
      </w:r>
      <w:r>
        <w:rPr>
          <w:rFonts w:ascii="Times New Roman" w:hAnsi="Times New Roman"/>
          <w:i w:val="1"/>
          <w:iCs w:val="1"/>
          <w:sz w:val="20"/>
          <w:szCs w:val="20"/>
          <w:rtl w:val="0"/>
          <w:lang w:val="en-US"/>
        </w:rPr>
        <w:t>Frequency and the emergence of linguistic structure</w:t>
      </w:r>
      <w:r>
        <w:rPr>
          <w:rFonts w:ascii="Times New Roman" w:hAnsi="Times New Roman"/>
          <w:sz w:val="20"/>
          <w:szCs w:val="20"/>
          <w:rtl w:val="0"/>
          <w:lang w:val="nl-NL"/>
        </w:rPr>
        <w:t>. Amsterdam: John Benjamins.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Corder, S. P. (1983). A role for the mother tongue. In S. Gass &amp; L. Selinker (Eds.), </w:t>
      </w:r>
      <w:r>
        <w:rPr>
          <w:rFonts w:ascii="Times New Roman" w:hAnsi="Times New Roman"/>
          <w:i w:val="1"/>
          <w:iCs w:val="1"/>
          <w:sz w:val="20"/>
          <w:szCs w:val="20"/>
          <w:rtl w:val="0"/>
          <w:lang w:val="en-US"/>
        </w:rPr>
        <w:t>Language transfer in language learning</w:t>
      </w:r>
      <w:r>
        <w:rPr>
          <w:rFonts w:ascii="Times New Roman" w:hAnsi="Times New Roman"/>
          <w:sz w:val="20"/>
          <w:szCs w:val="20"/>
          <w:rtl w:val="0"/>
          <w:lang w:val="en-US"/>
        </w:rPr>
        <w:t>. Rowley, MA: Newbury House.</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Crystal, D. (2000). </w:t>
      </w:r>
      <w:r>
        <w:rPr>
          <w:rFonts w:ascii="Times New Roman" w:hAnsi="Times New Roman"/>
          <w:i w:val="1"/>
          <w:iCs w:val="1"/>
          <w:sz w:val="20"/>
          <w:szCs w:val="20"/>
          <w:rtl w:val="0"/>
          <w:lang w:val="en-US"/>
        </w:rPr>
        <w:t>Language death</w:t>
      </w:r>
      <w:r>
        <w:rPr>
          <w:rFonts w:ascii="Times New Roman" w:hAnsi="Times New Roman"/>
          <w:sz w:val="20"/>
          <w:szCs w:val="20"/>
          <w:rtl w:val="0"/>
          <w:lang w:val="en-US"/>
        </w:rPr>
        <w:t>. Cambridge: Cambridge University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Darwin, C. (1871). </w:t>
      </w:r>
      <w:r>
        <w:rPr>
          <w:rFonts w:ascii="Times New Roman" w:hAnsi="Times New Roman"/>
          <w:i w:val="1"/>
          <w:iCs w:val="1"/>
          <w:sz w:val="20"/>
          <w:szCs w:val="20"/>
          <w:rtl w:val="0"/>
          <w:lang w:val="en-US"/>
        </w:rPr>
        <w:t>The descent of man and selecton in relation to sex</w:t>
      </w:r>
      <w:r>
        <w:rPr>
          <w:rFonts w:ascii="Times New Roman" w:hAnsi="Times New Roman"/>
          <w:sz w:val="20"/>
          <w:szCs w:val="20"/>
          <w:rtl w:val="0"/>
          <w:lang w:val="de-DE"/>
        </w:rPr>
        <w:t>. London: John Murray.</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Elman, J. L. (1993). Learning and development in neural networks:  The importance of starting small. </w:t>
      </w:r>
      <w:r>
        <w:rPr>
          <w:rFonts w:ascii="Times New Roman" w:hAnsi="Times New Roman"/>
          <w:i w:val="1"/>
          <w:iCs w:val="1"/>
          <w:sz w:val="20"/>
          <w:szCs w:val="20"/>
          <w:rtl w:val="0"/>
          <w:lang w:val="en-US"/>
        </w:rPr>
        <w:t>Cognition, 48</w:t>
      </w:r>
      <w:r>
        <w:rPr>
          <w:rFonts w:ascii="Times New Roman" w:hAnsi="Times New Roman"/>
          <w:sz w:val="20"/>
          <w:szCs w:val="20"/>
          <w:rtl w:val="0"/>
        </w:rPr>
        <w:t xml:space="preserve">, 71-99. </w:t>
      </w:r>
    </w:p>
    <w:p>
      <w:pPr>
        <w:pStyle w:val="Bibliography"/>
        <w:rPr>
          <w:rFonts w:ascii="Times New Roman" w:cs="Times New Roman" w:hAnsi="Times New Roman" w:eastAsia="Times New Roman"/>
          <w:sz w:val="20"/>
          <w:szCs w:val="20"/>
        </w:rPr>
      </w:pPr>
      <w:r>
        <w:rPr>
          <w:rFonts w:ascii="Times New Roman" w:hAnsi="Times New Roman"/>
          <w:sz w:val="20"/>
          <w:szCs w:val="20"/>
          <w:rtl w:val="0"/>
        </w:rPr>
        <w:t>Enard, W., Przeworski, M., Fisher, S., Lai, C., Wiebe, V., Kitano, T., . . . P</w:t>
      </w:r>
      <w:r>
        <w:rPr>
          <w:rFonts w:ascii="Times New Roman" w:hAnsi="Times New Roman" w:hint="default"/>
          <w:sz w:val="20"/>
          <w:szCs w:val="20"/>
          <w:rtl w:val="0"/>
          <w:lang w:val="da-DK"/>
        </w:rPr>
        <w:t>åå</w:t>
      </w:r>
      <w:r>
        <w:rPr>
          <w:rFonts w:ascii="Times New Roman" w:hAnsi="Times New Roman"/>
          <w:sz w:val="20"/>
          <w:szCs w:val="20"/>
          <w:rtl w:val="0"/>
          <w:lang w:val="en-US"/>
        </w:rPr>
        <w:t xml:space="preserve">bo, S. (2002). Molecular evolution of FOXP2, a gene involved in speech and language. </w:t>
      </w:r>
      <w:r>
        <w:rPr>
          <w:rFonts w:ascii="Times New Roman" w:hAnsi="Times New Roman"/>
          <w:i w:val="1"/>
          <w:iCs w:val="1"/>
          <w:sz w:val="20"/>
          <w:szCs w:val="20"/>
          <w:rtl w:val="0"/>
          <w:lang w:val="fr-FR"/>
        </w:rPr>
        <w:t>Nature, 418</w:t>
      </w:r>
      <w:r>
        <w:rPr>
          <w:rFonts w:ascii="Times New Roman" w:hAnsi="Times New Roman"/>
          <w:sz w:val="20"/>
          <w:szCs w:val="20"/>
          <w:rtl w:val="0"/>
        </w:rPr>
        <w:t xml:space="preserve">, 869-872.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Everett, D. (2007). Challenging Chomskyan linguistics: the case of Pirah</w:t>
      </w:r>
      <w:r>
        <w:rPr>
          <w:rFonts w:ascii="Times New Roman" w:hAnsi="Times New Roman" w:hint="default"/>
          <w:sz w:val="20"/>
          <w:szCs w:val="20"/>
          <w:rtl w:val="0"/>
          <w:lang w:val="pt-PT"/>
        </w:rPr>
        <w:t>ã</w:t>
      </w:r>
      <w:r>
        <w:rPr>
          <w:rFonts w:ascii="Times New Roman" w:hAnsi="Times New Roman"/>
          <w:sz w:val="20"/>
          <w:szCs w:val="20"/>
          <w:rtl w:val="0"/>
        </w:rPr>
        <w:t xml:space="preserve">. </w:t>
      </w:r>
      <w:r>
        <w:rPr>
          <w:rFonts w:ascii="Times New Roman" w:hAnsi="Times New Roman"/>
          <w:i w:val="1"/>
          <w:iCs w:val="1"/>
          <w:sz w:val="20"/>
          <w:szCs w:val="20"/>
          <w:rtl w:val="0"/>
          <w:lang w:val="en-US"/>
        </w:rPr>
        <w:t>Human Development, 50</w:t>
      </w:r>
      <w:r>
        <w:rPr>
          <w:rFonts w:ascii="Times New Roman" w:hAnsi="Times New Roman"/>
          <w:sz w:val="20"/>
          <w:szCs w:val="20"/>
          <w:rtl w:val="0"/>
        </w:rPr>
        <w:t xml:space="preserve">, 297-299.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Farrar, S., &amp; Langendoen, T. (2003). A linguistic ontology for the Semantic Web. </w:t>
      </w:r>
      <w:r>
        <w:rPr>
          <w:rFonts w:ascii="Times New Roman" w:hAnsi="Times New Roman"/>
          <w:i w:val="1"/>
          <w:iCs w:val="1"/>
          <w:sz w:val="20"/>
          <w:szCs w:val="20"/>
          <w:rtl w:val="0"/>
          <w:lang w:val="en-US"/>
        </w:rPr>
        <w:t>GLOT International, 7</w:t>
      </w:r>
      <w:r>
        <w:rPr>
          <w:rFonts w:ascii="Times New Roman" w:hAnsi="Times New Roman"/>
          <w:sz w:val="20"/>
          <w:szCs w:val="20"/>
          <w:rtl w:val="0"/>
        </w:rPr>
        <w:t xml:space="preserve">, 97-100.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Freudenthal, D., Pine, J., &amp; Gobet, F. (2010). Explaining quantitative variation in the rate of Optional Infinitive errors across languages: A comparison of MOSAIC and the Variational Learning Model. </w:t>
      </w:r>
      <w:r>
        <w:rPr>
          <w:rFonts w:ascii="Times New Roman" w:hAnsi="Times New Roman"/>
          <w:i w:val="1"/>
          <w:iCs w:val="1"/>
          <w:sz w:val="20"/>
          <w:szCs w:val="20"/>
          <w:rtl w:val="0"/>
          <w:lang w:val="en-US"/>
        </w:rPr>
        <w:t>Journal of Child Language, 37</w:t>
      </w:r>
      <w:r>
        <w:rPr>
          <w:rFonts w:ascii="Times New Roman" w:hAnsi="Times New Roman"/>
          <w:sz w:val="20"/>
          <w:szCs w:val="20"/>
          <w:rtl w:val="0"/>
        </w:rPr>
        <w:t xml:space="preserve">, 643-669. </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Friedl, J. (2002). </w:t>
      </w:r>
      <w:r>
        <w:rPr>
          <w:rFonts w:ascii="Times New Roman" w:hAnsi="Times New Roman"/>
          <w:i w:val="1"/>
          <w:iCs w:val="1"/>
          <w:sz w:val="20"/>
          <w:szCs w:val="20"/>
          <w:rtl w:val="0"/>
          <w:lang w:val="en-US"/>
        </w:rPr>
        <w:t>Mastering regular expressions</w:t>
      </w:r>
      <w:r>
        <w:rPr>
          <w:rFonts w:ascii="Times New Roman" w:hAnsi="Times New Roman"/>
          <w:sz w:val="20"/>
          <w:szCs w:val="20"/>
          <w:rtl w:val="0"/>
          <w:lang w:val="en-US"/>
        </w:rPr>
        <w:t>. Sebastopol, CA: O'Reilly.</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Ganger, J., &amp; Brent, M. (2004). Reexamining the vocabulary spurt. </w:t>
      </w:r>
      <w:r>
        <w:rPr>
          <w:rFonts w:ascii="Times New Roman" w:hAnsi="Times New Roman"/>
          <w:i w:val="1"/>
          <w:iCs w:val="1"/>
          <w:sz w:val="20"/>
          <w:szCs w:val="20"/>
          <w:rtl w:val="0"/>
          <w:lang w:val="en-US"/>
        </w:rPr>
        <w:t>Developmental Psychology, 40</w:t>
      </w:r>
      <w:r>
        <w:rPr>
          <w:rFonts w:ascii="Times New Roman" w:hAnsi="Times New Roman"/>
          <w:sz w:val="20"/>
          <w:szCs w:val="20"/>
          <w:rtl w:val="0"/>
        </w:rPr>
        <w:t xml:space="preserve">, 621-632.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Gillis, S., Daelemans, W., &amp; Durieux, G. (2000). "Lazy learning": Natural and machine learning of word stress. In D. Broeder &amp; J. Murre (Eds.), </w:t>
      </w:r>
      <w:r>
        <w:rPr>
          <w:rFonts w:ascii="Times New Roman" w:hAnsi="Times New Roman"/>
          <w:i w:val="1"/>
          <w:iCs w:val="1"/>
          <w:sz w:val="20"/>
          <w:szCs w:val="20"/>
          <w:rtl w:val="0"/>
          <w:lang w:val="en-US"/>
        </w:rPr>
        <w:t>Models of Language Acquisition</w:t>
      </w:r>
      <w:r>
        <w:rPr>
          <w:rFonts w:ascii="Times New Roman" w:hAnsi="Times New Roman"/>
          <w:sz w:val="20"/>
          <w:szCs w:val="20"/>
          <w:rtl w:val="0"/>
          <w:lang w:val="pt-PT"/>
        </w:rPr>
        <w:t xml:space="preserve"> (pp. 76-102). Oxford: Oxford University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Goldman-Eisler, F. (1968). </w:t>
      </w:r>
      <w:r>
        <w:rPr>
          <w:rFonts w:ascii="Times New Roman" w:hAnsi="Times New Roman"/>
          <w:i w:val="1"/>
          <w:iCs w:val="1"/>
          <w:sz w:val="20"/>
          <w:szCs w:val="20"/>
          <w:rtl w:val="0"/>
          <w:lang w:val="en-US"/>
        </w:rPr>
        <w:t>Psycholinguistics: Experiments in spontaneous speech</w:t>
      </w:r>
      <w:r>
        <w:rPr>
          <w:rFonts w:ascii="Times New Roman" w:hAnsi="Times New Roman"/>
          <w:sz w:val="20"/>
          <w:szCs w:val="20"/>
          <w:rtl w:val="0"/>
          <w:lang w:val="en-US"/>
        </w:rPr>
        <w:t>. New York: Academic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Goodenough, U., &amp; Deacon, T. (2006). The sacred emergence of nature </w:t>
      </w:r>
      <w:r>
        <w:rPr>
          <w:rFonts w:ascii="Times New Roman" w:hAnsi="Times New Roman"/>
          <w:i w:val="1"/>
          <w:iCs w:val="1"/>
          <w:sz w:val="20"/>
          <w:szCs w:val="20"/>
          <w:rtl w:val="0"/>
          <w:lang w:val="en-US"/>
        </w:rPr>
        <w:t>The Oxford Handbook of Religion and Science</w:t>
      </w:r>
      <w:r>
        <w:rPr>
          <w:rFonts w:ascii="Times New Roman" w:hAnsi="Times New Roman"/>
          <w:sz w:val="20"/>
          <w:szCs w:val="20"/>
          <w:rtl w:val="0"/>
        </w:rPr>
        <w:t xml:space="preserve"> (pp. 853-872). Oxford: Oxford University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Grosjean, F., &amp; Miller, J. (1994). Going in and out of languages. </w:t>
      </w:r>
      <w:r>
        <w:rPr>
          <w:rFonts w:ascii="Times New Roman" w:hAnsi="Times New Roman"/>
          <w:i w:val="1"/>
          <w:iCs w:val="1"/>
          <w:sz w:val="20"/>
          <w:szCs w:val="20"/>
          <w:rtl w:val="0"/>
          <w:lang w:val="en-US"/>
        </w:rPr>
        <w:t>Psychological Science, 5</w:t>
      </w:r>
      <w:r>
        <w:rPr>
          <w:rFonts w:ascii="Times New Roman" w:hAnsi="Times New Roman"/>
          <w:sz w:val="20"/>
          <w:szCs w:val="20"/>
          <w:rtl w:val="0"/>
        </w:rPr>
        <w:t xml:space="preserve">, 201-206. </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Groves, R. (2004). </w:t>
      </w:r>
      <w:r>
        <w:rPr>
          <w:rFonts w:ascii="Times New Roman" w:hAnsi="Times New Roman"/>
          <w:i w:val="1"/>
          <w:iCs w:val="1"/>
          <w:sz w:val="20"/>
          <w:szCs w:val="20"/>
          <w:rtl w:val="0"/>
          <w:lang w:val="en-US"/>
        </w:rPr>
        <w:t>Survey errors and survey costs</w:t>
      </w:r>
      <w:r>
        <w:rPr>
          <w:rFonts w:ascii="Times New Roman" w:hAnsi="Times New Roman"/>
          <w:sz w:val="20"/>
          <w:szCs w:val="20"/>
          <w:rtl w:val="0"/>
          <w:lang w:val="en-US"/>
        </w:rPr>
        <w:t>. New York: Wiley.</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Gupta, P., &amp; Touretzky, D. (1994). Connectionist models and linguistic theory: Investigations of stress systems in language. </w:t>
      </w:r>
      <w:r>
        <w:rPr>
          <w:rFonts w:ascii="Times New Roman" w:hAnsi="Times New Roman"/>
          <w:i w:val="1"/>
          <w:iCs w:val="1"/>
          <w:sz w:val="20"/>
          <w:szCs w:val="20"/>
          <w:rtl w:val="0"/>
          <w:lang w:val="en-US"/>
        </w:rPr>
        <w:t>Cognitive Science, 18</w:t>
      </w:r>
      <w:r>
        <w:rPr>
          <w:rFonts w:ascii="Times New Roman" w:hAnsi="Times New Roman"/>
          <w:sz w:val="20"/>
          <w:szCs w:val="20"/>
          <w:rtl w:val="0"/>
        </w:rPr>
        <w:t xml:space="preserve">, 1-50.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it-IT"/>
        </w:rPr>
        <w:t xml:space="preserve">Hall, W. S., &amp; Tirre, W. C. (1979). </w:t>
      </w:r>
      <w:r>
        <w:rPr>
          <w:rFonts w:ascii="Times New Roman" w:hAnsi="Times New Roman"/>
          <w:i w:val="1"/>
          <w:iCs w:val="1"/>
          <w:sz w:val="20"/>
          <w:szCs w:val="20"/>
          <w:rtl w:val="0"/>
          <w:lang w:val="en-US"/>
        </w:rPr>
        <w:t>The communicative environment of young children: Social class, ethnic and situational differences</w:t>
      </w:r>
      <w:r>
        <w:rPr>
          <w:rFonts w:ascii="Times New Roman" w:hAnsi="Times New Roman"/>
          <w:sz w:val="20"/>
          <w:szCs w:val="20"/>
          <w:rtl w:val="0"/>
          <w:lang w:val="en-US"/>
        </w:rPr>
        <w:t>. Champaign, IL: University of Illinois.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Hauptmann, A., Yan, R., Lin, W.-H., Christel, M., &amp; Wactlar, H. (2007). Can high level concepts fill the semantic gap in video retrieval? A case study with broadcast news.</w:t>
      </w:r>
      <w:r>
        <w:rPr>
          <w:rFonts w:ascii="Times New Roman" w:hAnsi="Times New Roman"/>
          <w:i w:val="1"/>
          <w:iCs w:val="1"/>
          <w:sz w:val="20"/>
          <w:szCs w:val="20"/>
          <w:rtl w:val="0"/>
          <w:lang w:val="en-US"/>
        </w:rPr>
        <w:t xml:space="preserve"> IEEE Transactions on Multimedia, 9</w:t>
      </w:r>
      <w:r>
        <w:rPr>
          <w:rFonts w:ascii="Times New Roman" w:hAnsi="Times New Roman"/>
          <w:sz w:val="20"/>
          <w:szCs w:val="20"/>
          <w:rtl w:val="0"/>
        </w:rPr>
        <w:t xml:space="preserve">.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Hauser, M., Chomsky, N., &amp; Fitch, T. (2002). The faculty of language: What is it, who has it, and how did it evolve? </w:t>
      </w:r>
      <w:r>
        <w:rPr>
          <w:rFonts w:ascii="Times New Roman" w:hAnsi="Times New Roman"/>
          <w:i w:val="1"/>
          <w:iCs w:val="1"/>
          <w:sz w:val="20"/>
          <w:szCs w:val="20"/>
          <w:rtl w:val="0"/>
          <w:lang w:val="en-US"/>
        </w:rPr>
        <w:t>Science, 298</w:t>
      </w:r>
      <w:r>
        <w:rPr>
          <w:rFonts w:ascii="Times New Roman" w:hAnsi="Times New Roman"/>
          <w:sz w:val="20"/>
          <w:szCs w:val="20"/>
          <w:rtl w:val="0"/>
        </w:rPr>
        <w:t xml:space="preserve">, 1569-1579.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Haviland, J. B. (1993). Anchoring, iconicity, and orientation in Guugu Yimithirr pointing gestures. </w:t>
      </w:r>
      <w:r>
        <w:rPr>
          <w:rFonts w:ascii="Times New Roman" w:hAnsi="Times New Roman"/>
          <w:i w:val="1"/>
          <w:iCs w:val="1"/>
          <w:sz w:val="20"/>
          <w:szCs w:val="20"/>
          <w:rtl w:val="0"/>
          <w:lang w:val="en-US"/>
        </w:rPr>
        <w:t>Journal of Linguistic Anthropology, 3</w:t>
      </w:r>
      <w:r>
        <w:rPr>
          <w:rFonts w:ascii="Times New Roman" w:hAnsi="Times New Roman"/>
          <w:sz w:val="20"/>
          <w:szCs w:val="20"/>
          <w:rtl w:val="0"/>
        </w:rPr>
        <w:t xml:space="preserve">, 3-45.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it-IT"/>
        </w:rPr>
        <w:t xml:space="preserve">Hay, J., &amp; Drager, K. (2007). Sociophonetics. </w:t>
      </w:r>
      <w:r>
        <w:rPr>
          <w:rFonts w:ascii="Times New Roman" w:hAnsi="Times New Roman"/>
          <w:i w:val="1"/>
          <w:iCs w:val="1"/>
          <w:sz w:val="20"/>
          <w:szCs w:val="20"/>
          <w:rtl w:val="0"/>
          <w:lang w:val="en-US"/>
        </w:rPr>
        <w:t>Annual Review of Anthropology, 36</w:t>
      </w:r>
      <w:r>
        <w:rPr>
          <w:rFonts w:ascii="Times New Roman" w:hAnsi="Times New Roman"/>
          <w:sz w:val="20"/>
          <w:szCs w:val="20"/>
          <w:rtl w:val="0"/>
        </w:rPr>
        <w:t xml:space="preserve">, 89-103.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fr-FR"/>
        </w:rPr>
        <w:t>Holl</w:t>
      </w:r>
      <w:r>
        <w:rPr>
          <w:rFonts w:ascii="Times New Roman" w:hAnsi="Times New Roman" w:hint="default"/>
          <w:sz w:val="20"/>
          <w:szCs w:val="20"/>
          <w:rtl w:val="0"/>
          <w:lang w:val="fr-FR"/>
        </w:rPr>
        <w:t>é</w:t>
      </w:r>
      <w:r>
        <w:rPr>
          <w:rFonts w:ascii="Times New Roman" w:hAnsi="Times New Roman"/>
          <w:sz w:val="20"/>
          <w:szCs w:val="20"/>
          <w:rtl w:val="0"/>
          <w:lang w:val="en-US"/>
        </w:rPr>
        <w:t xml:space="preserve">n, L., &amp; Manser, M. (2007). Motivation before meaning: motivational information encoded in meerkat alarm calls develops earlier than referential information. </w:t>
      </w:r>
      <w:r>
        <w:rPr>
          <w:rFonts w:ascii="Times New Roman" w:hAnsi="Times New Roman"/>
          <w:i w:val="1"/>
          <w:iCs w:val="1"/>
          <w:sz w:val="20"/>
          <w:szCs w:val="20"/>
          <w:rtl w:val="0"/>
          <w:lang w:val="en-US"/>
        </w:rPr>
        <w:t>The American Naturalist, 169</w:t>
      </w:r>
      <w:r>
        <w:rPr>
          <w:rFonts w:ascii="Times New Roman" w:hAnsi="Times New Roman"/>
          <w:sz w:val="20"/>
          <w:szCs w:val="20"/>
          <w:rtl w:val="0"/>
        </w:rPr>
        <w:t xml:space="preserve">, 758-767.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Jacobsson, S., &amp; Bergek, A. (2004). Transforming the energy sector: the evolution of technological systems in renewable energy technology. </w:t>
      </w:r>
      <w:r>
        <w:rPr>
          <w:rFonts w:ascii="Times New Roman" w:hAnsi="Times New Roman"/>
          <w:i w:val="1"/>
          <w:iCs w:val="1"/>
          <w:sz w:val="20"/>
          <w:szCs w:val="20"/>
          <w:rtl w:val="0"/>
          <w:lang w:val="en-US"/>
        </w:rPr>
        <w:t>Industrial and Corporate Change, 13</w:t>
      </w:r>
      <w:r>
        <w:rPr>
          <w:rFonts w:ascii="Times New Roman" w:hAnsi="Times New Roman"/>
          <w:sz w:val="20"/>
          <w:szCs w:val="20"/>
          <w:rtl w:val="0"/>
        </w:rPr>
        <w:t xml:space="preserve">, 815-849.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Jefferson, G. (1984). Transcript notation. In J. Atkinson &amp; J. Heritage (Eds.), </w:t>
      </w:r>
      <w:r>
        <w:rPr>
          <w:rFonts w:ascii="Times New Roman" w:hAnsi="Times New Roman"/>
          <w:i w:val="1"/>
          <w:iCs w:val="1"/>
          <w:sz w:val="20"/>
          <w:szCs w:val="20"/>
          <w:rtl w:val="0"/>
          <w:lang w:val="en-US"/>
        </w:rPr>
        <w:t>Structures of social interaction: Studies in conversation analysis</w:t>
      </w:r>
      <w:r>
        <w:rPr>
          <w:rFonts w:ascii="Times New Roman" w:hAnsi="Times New Roman"/>
          <w:sz w:val="20"/>
          <w:szCs w:val="20"/>
          <w:rtl w:val="0"/>
          <w:lang w:val="en-US"/>
        </w:rPr>
        <w:t xml:space="preserve"> (pp. 134-162). Cambridge: Cambridge University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Johnson, T. (2004). </w:t>
      </w:r>
      <w:r>
        <w:rPr>
          <w:rFonts w:ascii="Times New Roman" w:hAnsi="Times New Roman"/>
          <w:i w:val="1"/>
          <w:iCs w:val="1"/>
          <w:sz w:val="20"/>
          <w:szCs w:val="20"/>
          <w:rtl w:val="0"/>
          <w:lang w:val="en-US"/>
        </w:rPr>
        <w:t>Oral arguments and decision making on the United States Supreme Court</w:t>
      </w:r>
      <w:r>
        <w:rPr>
          <w:rFonts w:ascii="Times New Roman" w:hAnsi="Times New Roman"/>
          <w:sz w:val="20"/>
          <w:szCs w:val="20"/>
          <w:rtl w:val="0"/>
          <w:lang w:val="en-US"/>
        </w:rPr>
        <w:t>. New York: SUNY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Jones, M., &amp; Conti-Ramsden, G. (1997). A comparison of verb use in children with SLI and their younger siblings. </w:t>
      </w:r>
      <w:r>
        <w:rPr>
          <w:rFonts w:ascii="Times New Roman" w:hAnsi="Times New Roman"/>
          <w:i w:val="1"/>
          <w:iCs w:val="1"/>
          <w:sz w:val="20"/>
          <w:szCs w:val="20"/>
          <w:rtl w:val="0"/>
          <w:lang w:val="en-US"/>
        </w:rPr>
        <w:t>First Language, 7</w:t>
      </w:r>
      <w:r>
        <w:rPr>
          <w:rFonts w:ascii="Times New Roman" w:hAnsi="Times New Roman"/>
          <w:sz w:val="20"/>
          <w:szCs w:val="20"/>
          <w:rtl w:val="0"/>
        </w:rPr>
        <w:t xml:space="preserve">, 165-193.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Kendon, A. (1982). The study of gesture: Some observations on its history. </w:t>
      </w:r>
      <w:r>
        <w:rPr>
          <w:rFonts w:ascii="Times New Roman" w:hAnsi="Times New Roman"/>
          <w:i w:val="1"/>
          <w:iCs w:val="1"/>
          <w:sz w:val="20"/>
          <w:szCs w:val="20"/>
          <w:rtl w:val="0"/>
          <w:lang w:val="de-DE"/>
        </w:rPr>
        <w:t>Recherches S</w:t>
      </w:r>
      <w:r>
        <w:rPr>
          <w:rFonts w:ascii="Times New Roman" w:hAnsi="Times New Roman" w:hint="default"/>
          <w:i w:val="1"/>
          <w:iCs w:val="1"/>
          <w:sz w:val="20"/>
          <w:szCs w:val="20"/>
          <w:rtl w:val="0"/>
          <w:lang w:val="fr-FR"/>
        </w:rPr>
        <w:t>é</w:t>
      </w:r>
      <w:r>
        <w:rPr>
          <w:rFonts w:ascii="Times New Roman" w:hAnsi="Times New Roman"/>
          <w:i w:val="1"/>
          <w:iCs w:val="1"/>
          <w:sz w:val="20"/>
          <w:szCs w:val="20"/>
          <w:rtl w:val="0"/>
          <w:lang w:val="fr-FR"/>
        </w:rPr>
        <w:t>miotiques/Semiotic Inquiry, 2</w:t>
      </w:r>
      <w:r>
        <w:rPr>
          <w:rFonts w:ascii="Times New Roman" w:hAnsi="Times New Roman"/>
          <w:sz w:val="20"/>
          <w:szCs w:val="20"/>
          <w:rtl w:val="0"/>
        </w:rPr>
        <w:t xml:space="preserve">(1), 45-62.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Kingsbury, P., &amp; Palmer, M. (2002). From TreeBank to PropBank. </w:t>
      </w:r>
      <w:r>
        <w:rPr>
          <w:rFonts w:ascii="Times New Roman" w:hAnsi="Times New Roman"/>
          <w:i w:val="1"/>
          <w:iCs w:val="1"/>
          <w:sz w:val="20"/>
          <w:szCs w:val="20"/>
          <w:rtl w:val="0"/>
          <w:lang w:val="en-US"/>
        </w:rPr>
        <w:t>Third International Conference on Language Resources and Evaluation</w:t>
      </w:r>
      <w:r>
        <w:rPr>
          <w:rFonts w:ascii="Times New Roman" w:hAnsi="Times New Roman"/>
          <w:sz w:val="20"/>
          <w:szCs w:val="20"/>
          <w:rtl w:val="0"/>
        </w:rPr>
        <w:t xml:space="preserve">, 335-341. </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Kipp, M. (2001). </w:t>
      </w:r>
      <w:r>
        <w:rPr>
          <w:rFonts w:ascii="Times New Roman" w:hAnsi="Times New Roman"/>
          <w:i w:val="1"/>
          <w:iCs w:val="1"/>
          <w:sz w:val="20"/>
          <w:szCs w:val="20"/>
          <w:rtl w:val="0"/>
          <w:lang w:val="en-US"/>
        </w:rPr>
        <w:t>ANVIL: A generic annotation tool for multimodal dialogue.</w:t>
      </w:r>
      <w:r>
        <w:rPr>
          <w:rFonts w:ascii="Times New Roman" w:hAnsi="Times New Roman"/>
          <w:sz w:val="20"/>
          <w:szCs w:val="20"/>
          <w:rtl w:val="0"/>
          <w:lang w:val="en-US"/>
        </w:rPr>
        <w:t xml:space="preserve"> Paper presented at the Proceedings of Eurospeech 2001, Scandanavia.</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de-DE"/>
        </w:rPr>
        <w:t xml:space="preserve">Klatzky, R., MacWhinney, B., &amp; Behrmann, M. (Eds.). (2008). </w:t>
      </w:r>
      <w:r>
        <w:rPr>
          <w:rFonts w:ascii="Times New Roman" w:hAnsi="Times New Roman"/>
          <w:i w:val="1"/>
          <w:iCs w:val="1"/>
          <w:sz w:val="20"/>
          <w:szCs w:val="20"/>
          <w:rtl w:val="0"/>
          <w:lang w:val="en-US"/>
        </w:rPr>
        <w:t>Embodiment, ego-space, and action</w:t>
      </w:r>
      <w:r>
        <w:rPr>
          <w:rFonts w:ascii="Times New Roman" w:hAnsi="Times New Roman"/>
          <w:sz w:val="20"/>
          <w:szCs w:val="20"/>
          <w:rtl w:val="0"/>
          <w:lang w:val="en-US"/>
        </w:rPr>
        <w:t>. New York: Psychology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Labov, W. (2001). </w:t>
      </w:r>
      <w:r>
        <w:rPr>
          <w:rFonts w:ascii="Times New Roman" w:hAnsi="Times New Roman"/>
          <w:i w:val="1"/>
          <w:iCs w:val="1"/>
          <w:sz w:val="20"/>
          <w:szCs w:val="20"/>
          <w:rtl w:val="0"/>
          <w:lang w:val="en-US"/>
        </w:rPr>
        <w:t>Principles of linguistic change.  Vol. 2: Social considerations</w:t>
      </w:r>
      <w:r>
        <w:rPr>
          <w:rFonts w:ascii="Times New Roman" w:hAnsi="Times New Roman"/>
          <w:sz w:val="20"/>
          <w:szCs w:val="20"/>
          <w:rtl w:val="0"/>
          <w:lang w:val="de-DE"/>
        </w:rPr>
        <w:t>. London: Blackwells.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it-IT"/>
        </w:rPr>
        <w:t xml:space="preserve">Labov, W., Ash, S., &amp; Boberg, C. (2006). </w:t>
      </w:r>
      <w:r>
        <w:rPr>
          <w:rFonts w:ascii="Times New Roman" w:hAnsi="Times New Roman"/>
          <w:i w:val="1"/>
          <w:iCs w:val="1"/>
          <w:sz w:val="20"/>
          <w:szCs w:val="20"/>
          <w:rtl w:val="0"/>
          <w:lang w:val="en-US"/>
        </w:rPr>
        <w:t>The Atlas of North American English: Phonetics, phonology and sound change</w:t>
      </w:r>
      <w:r>
        <w:rPr>
          <w:rFonts w:ascii="Times New Roman" w:hAnsi="Times New Roman"/>
          <w:sz w:val="20"/>
          <w:szCs w:val="20"/>
          <w:rtl w:val="0"/>
        </w:rPr>
        <w:t>. Berlin: Mouton de Gruyter.</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Larsen-Freeman, D. (2006). The emergence of complexity, fluency, and accuracy in the oral and written production of five Chinese learners of English. </w:t>
      </w:r>
      <w:r>
        <w:rPr>
          <w:rFonts w:ascii="Times New Roman" w:hAnsi="Times New Roman"/>
          <w:i w:val="1"/>
          <w:iCs w:val="1"/>
          <w:sz w:val="20"/>
          <w:szCs w:val="20"/>
          <w:rtl w:val="0"/>
          <w:lang w:val="en-US"/>
        </w:rPr>
        <w:t>Applied Linguistics</w:t>
      </w:r>
      <w:r>
        <w:rPr>
          <w:rFonts w:ascii="Times New Roman" w:hAnsi="Times New Roman"/>
          <w:sz w:val="20"/>
          <w:szCs w:val="20"/>
          <w:rtl w:val="0"/>
        </w:rPr>
        <w:t xml:space="preserve">(27), 590-619.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Lee, L. (1966). Developmental sentence types: A method for comparing normal and deviant syntactic development. </w:t>
      </w:r>
      <w:r>
        <w:rPr>
          <w:rFonts w:ascii="Times New Roman" w:hAnsi="Times New Roman"/>
          <w:i w:val="1"/>
          <w:iCs w:val="1"/>
          <w:sz w:val="20"/>
          <w:szCs w:val="20"/>
          <w:rtl w:val="0"/>
          <w:lang w:val="en-US"/>
        </w:rPr>
        <w:t>Journal of Speech and Hearing Disorders, 31</w:t>
      </w:r>
      <w:r>
        <w:rPr>
          <w:rFonts w:ascii="Times New Roman" w:hAnsi="Times New Roman"/>
          <w:sz w:val="20"/>
          <w:szCs w:val="20"/>
          <w:rtl w:val="0"/>
        </w:rPr>
        <w:t xml:space="preserve">, 331-330.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it-IT"/>
        </w:rPr>
        <w:t xml:space="preserve">Leont'ev, A. (1981). </w:t>
      </w:r>
      <w:r>
        <w:rPr>
          <w:rFonts w:ascii="Times New Roman" w:hAnsi="Times New Roman"/>
          <w:i w:val="1"/>
          <w:iCs w:val="1"/>
          <w:sz w:val="20"/>
          <w:szCs w:val="20"/>
          <w:rtl w:val="0"/>
          <w:lang w:val="en-US"/>
        </w:rPr>
        <w:t>Problems of the development of mind (Russian original 1947)</w:t>
      </w:r>
      <w:r>
        <w:rPr>
          <w:rFonts w:ascii="Times New Roman" w:hAnsi="Times New Roman"/>
          <w:sz w:val="20"/>
          <w:szCs w:val="20"/>
          <w:rtl w:val="0"/>
        </w:rPr>
        <w:t>. Moscow: Progress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Li, P., Zhao, X., &amp; MacWhinney, B. (2007). Dynamic self-organization and early lexical development in children. </w:t>
      </w:r>
      <w:r>
        <w:rPr>
          <w:rFonts w:ascii="Times New Roman" w:hAnsi="Times New Roman"/>
          <w:i w:val="1"/>
          <w:iCs w:val="1"/>
          <w:sz w:val="20"/>
          <w:szCs w:val="20"/>
          <w:rtl w:val="0"/>
          <w:lang w:val="en-US"/>
        </w:rPr>
        <w:t>Cognitive Science, 31</w:t>
      </w:r>
      <w:r>
        <w:rPr>
          <w:rFonts w:ascii="Times New Roman" w:hAnsi="Times New Roman"/>
          <w:sz w:val="20"/>
          <w:szCs w:val="20"/>
          <w:rtl w:val="0"/>
        </w:rPr>
        <w:t xml:space="preserve">, 581-612.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de-DE"/>
        </w:rPr>
        <w:t xml:space="preserve">Lin, W.-H., &amp; Hauptmann, A. (2008). </w:t>
      </w:r>
      <w:r>
        <w:rPr>
          <w:rFonts w:ascii="Times New Roman" w:hAnsi="Times New Roman"/>
          <w:i w:val="1"/>
          <w:iCs w:val="1"/>
          <w:sz w:val="20"/>
          <w:szCs w:val="20"/>
          <w:rtl w:val="0"/>
          <w:lang w:val="en-US"/>
        </w:rPr>
        <w:t>Identifying ideological perspectives of web videos using patterns emerging from folksonomies</w:t>
      </w:r>
      <w:r>
        <w:rPr>
          <w:rFonts w:ascii="Times New Roman" w:hAnsi="Times New Roman"/>
          <w:sz w:val="20"/>
          <w:szCs w:val="20"/>
          <w:rtl w:val="0"/>
          <w:lang w:val="en-US"/>
        </w:rPr>
        <w:t xml:space="preserve">. Paper presented at the Wikis, Blogs, Bookmarking Tools - Mining the Web 2.0 (WBBTMine), Antwerp.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Ling, C., &amp; Marinov, M. (1993). Answering the connectionist challenge. </w:t>
      </w:r>
      <w:r>
        <w:rPr>
          <w:rFonts w:ascii="Times New Roman" w:hAnsi="Times New Roman"/>
          <w:i w:val="1"/>
          <w:iCs w:val="1"/>
          <w:sz w:val="20"/>
          <w:szCs w:val="20"/>
          <w:rtl w:val="0"/>
          <w:lang w:val="en-US"/>
        </w:rPr>
        <w:t>Cognition, 49</w:t>
      </w:r>
      <w:r>
        <w:rPr>
          <w:rFonts w:ascii="Times New Roman" w:hAnsi="Times New Roman"/>
          <w:sz w:val="20"/>
          <w:szCs w:val="20"/>
          <w:rtl w:val="0"/>
        </w:rPr>
        <w:t xml:space="preserve">, 267-290.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MacWhinney, B. (2004). A multiple process solution to the logical problem of language acquisition. </w:t>
      </w:r>
      <w:r>
        <w:rPr>
          <w:rFonts w:ascii="Times New Roman" w:hAnsi="Times New Roman"/>
          <w:i w:val="1"/>
          <w:iCs w:val="1"/>
          <w:sz w:val="20"/>
          <w:szCs w:val="20"/>
          <w:rtl w:val="0"/>
          <w:lang w:val="en-US"/>
        </w:rPr>
        <w:t>Journal of Child Language, 31</w:t>
      </w:r>
      <w:r>
        <w:rPr>
          <w:rFonts w:ascii="Times New Roman" w:hAnsi="Times New Roman"/>
          <w:sz w:val="20"/>
          <w:szCs w:val="20"/>
          <w:rtl w:val="0"/>
        </w:rPr>
        <w:t xml:space="preserve">, 883-914.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MacWhinney, B. (2005). Can our experiments illuminate reality? In L. Gershkoff-Stowe &amp; D. Rakison (Eds.), </w:t>
      </w:r>
      <w:r>
        <w:rPr>
          <w:rFonts w:ascii="Times New Roman" w:hAnsi="Times New Roman"/>
          <w:i w:val="1"/>
          <w:iCs w:val="1"/>
          <w:sz w:val="20"/>
          <w:szCs w:val="20"/>
          <w:rtl w:val="0"/>
          <w:lang w:val="en-US"/>
        </w:rPr>
        <w:t>Building object categories in developmental time</w:t>
      </w:r>
      <w:r>
        <w:rPr>
          <w:rFonts w:ascii="Times New Roman" w:hAnsi="Times New Roman"/>
          <w:sz w:val="20"/>
          <w:szCs w:val="20"/>
          <w:rtl w:val="0"/>
          <w:lang w:val="de-DE"/>
        </w:rPr>
        <w:t xml:space="preserve"> (pp. 301-308). Mahwah, NJ: Lawrence Erlbaum Associates.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MacWhinney, B. (2008a). Cognitive precursors to language. In K. Oller &amp; U. Griebel (Eds.), </w:t>
      </w:r>
      <w:r>
        <w:rPr>
          <w:rFonts w:ascii="Times New Roman" w:hAnsi="Times New Roman"/>
          <w:i w:val="1"/>
          <w:iCs w:val="1"/>
          <w:sz w:val="20"/>
          <w:szCs w:val="20"/>
          <w:rtl w:val="0"/>
          <w:lang w:val="en-US"/>
        </w:rPr>
        <w:t>The evolution of communicative flexibility</w:t>
      </w:r>
      <w:r>
        <w:rPr>
          <w:rFonts w:ascii="Times New Roman" w:hAnsi="Times New Roman"/>
          <w:sz w:val="20"/>
          <w:szCs w:val="20"/>
          <w:rtl w:val="0"/>
          <w:lang w:val="en-US"/>
        </w:rPr>
        <w:t xml:space="preserve"> (pp. 193-214). Cambridge, MA: MIT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MacWhinney, B. (2008b). Enriching CHILDES for morphosyntactic analysis. In H. Behrens (Ed.), </w:t>
      </w:r>
      <w:r>
        <w:rPr>
          <w:rFonts w:ascii="Times New Roman" w:hAnsi="Times New Roman"/>
          <w:i w:val="1"/>
          <w:iCs w:val="1"/>
          <w:sz w:val="20"/>
          <w:szCs w:val="20"/>
          <w:rtl w:val="0"/>
          <w:lang w:val="en-US"/>
        </w:rPr>
        <w:t>Trends in corpus research: Finding structure in data</w:t>
      </w:r>
      <w:r>
        <w:rPr>
          <w:rFonts w:ascii="Times New Roman" w:hAnsi="Times New Roman"/>
          <w:sz w:val="20"/>
          <w:szCs w:val="20"/>
          <w:rtl w:val="0"/>
          <w:lang w:val="nl-NL"/>
        </w:rPr>
        <w:t xml:space="preserve"> (pp. 165-198). Amsterdam: John Benjamins.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MacWhinney, B. (2009). The emergence of linguistic complexity. In T. Givon (Ed.), </w:t>
      </w:r>
      <w:r>
        <w:rPr>
          <w:rFonts w:ascii="Times New Roman" w:hAnsi="Times New Roman"/>
          <w:i w:val="1"/>
          <w:iCs w:val="1"/>
          <w:sz w:val="20"/>
          <w:szCs w:val="20"/>
          <w:rtl w:val="0"/>
          <w:lang w:val="en-US"/>
        </w:rPr>
        <w:t>Linguistic complexity</w:t>
      </w:r>
      <w:r>
        <w:rPr>
          <w:rFonts w:ascii="Times New Roman" w:hAnsi="Times New Roman"/>
          <w:sz w:val="20"/>
          <w:szCs w:val="20"/>
          <w:rtl w:val="0"/>
        </w:rPr>
        <w:t xml:space="preserve"> (pp. 405-432). New York: Benjamins.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MacWhinney, B. (2010). Computational models of child language learning. </w:t>
      </w:r>
      <w:r>
        <w:rPr>
          <w:rFonts w:ascii="Times New Roman" w:hAnsi="Times New Roman"/>
          <w:i w:val="1"/>
          <w:iCs w:val="1"/>
          <w:sz w:val="20"/>
          <w:szCs w:val="20"/>
          <w:rtl w:val="0"/>
          <w:lang w:val="en-US"/>
        </w:rPr>
        <w:t>Journal of Child Language, 37</w:t>
      </w:r>
      <w:r>
        <w:rPr>
          <w:rFonts w:ascii="Times New Roman" w:hAnsi="Times New Roman"/>
          <w:sz w:val="20"/>
          <w:szCs w:val="20"/>
          <w:rtl w:val="0"/>
        </w:rPr>
        <w:t xml:space="preserve">, 477-485.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MacWhinney, B., Fromm, D., Holland, A., Forbes, M., &amp; Wright, H. (2010). Automated analysis of the Cinderella story. </w:t>
      </w:r>
      <w:r>
        <w:rPr>
          <w:rFonts w:ascii="Times New Roman" w:hAnsi="Times New Roman"/>
          <w:i w:val="1"/>
          <w:iCs w:val="1"/>
          <w:sz w:val="20"/>
          <w:szCs w:val="20"/>
          <w:rtl w:val="0"/>
          <w:lang w:val="en-US"/>
        </w:rPr>
        <w:t>Aphasiology</w:t>
      </w:r>
      <w:r>
        <w:rPr>
          <w:rFonts w:ascii="Times New Roman" w:hAnsi="Times New Roman"/>
          <w:sz w:val="20"/>
          <w:szCs w:val="20"/>
          <w:rtl w:val="0"/>
        </w:rPr>
        <w:t xml:space="preserve">.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MacWhinney, B., &amp; Leinbach, J. (1991). Implementations are not conceptualizations: Revising the verb learning model. </w:t>
      </w:r>
      <w:r>
        <w:rPr>
          <w:rFonts w:ascii="Times New Roman" w:hAnsi="Times New Roman"/>
          <w:i w:val="1"/>
          <w:iCs w:val="1"/>
          <w:sz w:val="20"/>
          <w:szCs w:val="20"/>
          <w:rtl w:val="0"/>
          <w:lang w:val="en-US"/>
        </w:rPr>
        <w:t>Cognition, 29</w:t>
      </w:r>
      <w:r>
        <w:rPr>
          <w:rFonts w:ascii="Times New Roman" w:hAnsi="Times New Roman"/>
          <w:sz w:val="20"/>
          <w:szCs w:val="20"/>
          <w:rtl w:val="0"/>
        </w:rPr>
        <w:t xml:space="preserve">, 121-157.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MacWhinney, B., Martell, C., Schmidt, T., Wagner, J., Wittenburgh, P., Brugman, H., . . . Hoffert, E. (2004). Collaborative commentary: Opening up spoken language databases </w:t>
      </w:r>
      <w:r>
        <w:rPr>
          <w:rFonts w:ascii="Times New Roman" w:hAnsi="Times New Roman"/>
          <w:i w:val="1"/>
          <w:iCs w:val="1"/>
          <w:sz w:val="20"/>
          <w:szCs w:val="20"/>
          <w:rtl w:val="0"/>
        </w:rPr>
        <w:t>LREC 2004</w:t>
      </w:r>
      <w:r>
        <w:rPr>
          <w:rFonts w:ascii="Times New Roman" w:hAnsi="Times New Roman"/>
          <w:sz w:val="20"/>
          <w:szCs w:val="20"/>
          <w:rtl w:val="0"/>
          <w:lang w:val="pt-PT"/>
        </w:rPr>
        <w:t xml:space="preserve"> (pp. 11-15). Lisbon: LREC.</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Malvern, D. D., Richards, B. J., Chipere, N., &amp; Pur</w:t>
      </w:r>
      <w:r>
        <w:rPr>
          <w:rFonts w:ascii="Times New Roman" w:hAnsi="Times New Roman" w:hint="default"/>
          <w:sz w:val="20"/>
          <w:szCs w:val="20"/>
          <w:rtl w:val="0"/>
        </w:rPr>
        <w:t>á</w:t>
      </w:r>
      <w:r>
        <w:rPr>
          <w:rFonts w:ascii="Times New Roman" w:hAnsi="Times New Roman"/>
          <w:sz w:val="20"/>
          <w:szCs w:val="20"/>
          <w:rtl w:val="0"/>
        </w:rPr>
        <w:t xml:space="preserve">n, P. (2004). </w:t>
      </w:r>
      <w:r>
        <w:rPr>
          <w:rFonts w:ascii="Times New Roman" w:hAnsi="Times New Roman"/>
          <w:i w:val="1"/>
          <w:iCs w:val="1"/>
          <w:sz w:val="20"/>
          <w:szCs w:val="20"/>
          <w:rtl w:val="0"/>
          <w:lang w:val="en-US"/>
        </w:rPr>
        <w:t>Lexical diversity and language development</w:t>
      </w:r>
      <w:r>
        <w:rPr>
          <w:rFonts w:ascii="Times New Roman" w:hAnsi="Times New Roman"/>
          <w:sz w:val="20"/>
          <w:szCs w:val="20"/>
          <w:rtl w:val="0"/>
          <w:lang w:val="it-IT"/>
        </w:rPr>
        <w:t>. New York: Palgrave Macmillan.</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Marcus, G., Ullman, M., Pinker, S., Hollander, M., Rosen, T., &amp; Xu, F. (1992). Overregularization in language acquisition. </w:t>
      </w:r>
      <w:r>
        <w:rPr>
          <w:rFonts w:ascii="Times New Roman" w:hAnsi="Times New Roman"/>
          <w:i w:val="1"/>
          <w:iCs w:val="1"/>
          <w:sz w:val="20"/>
          <w:szCs w:val="20"/>
          <w:rtl w:val="0"/>
          <w:lang w:val="en-US"/>
        </w:rPr>
        <w:t>Monographs of the Society for Research in Child Development, 57</w:t>
      </w:r>
      <w:r>
        <w:rPr>
          <w:rFonts w:ascii="Times New Roman" w:hAnsi="Times New Roman"/>
          <w:sz w:val="20"/>
          <w:szCs w:val="20"/>
          <w:rtl w:val="0"/>
        </w:rPr>
        <w:t xml:space="preserve">(4), 1-182.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Mark, D., Freksa, C., Hirtle, S., Lloyd, R., &amp; Tversky, B. (1999). Cognitive models of geographical space. </w:t>
      </w:r>
      <w:r>
        <w:rPr>
          <w:rFonts w:ascii="Times New Roman" w:hAnsi="Times New Roman"/>
          <w:i w:val="1"/>
          <w:iCs w:val="1"/>
          <w:sz w:val="20"/>
          <w:szCs w:val="20"/>
          <w:rtl w:val="0"/>
          <w:lang w:val="en-US"/>
        </w:rPr>
        <w:t>International Journal of Geographical Information Science, 13</w:t>
      </w:r>
      <w:r>
        <w:rPr>
          <w:rFonts w:ascii="Times New Roman" w:hAnsi="Times New Roman"/>
          <w:sz w:val="20"/>
          <w:szCs w:val="20"/>
          <w:rtl w:val="0"/>
        </w:rPr>
        <w:t xml:space="preserve">, 747-774.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it-IT"/>
        </w:rPr>
        <w:t xml:space="preserve">Massaro, D. (1987). </w:t>
      </w:r>
      <w:r>
        <w:rPr>
          <w:rFonts w:ascii="Times New Roman" w:hAnsi="Times New Roman"/>
          <w:i w:val="1"/>
          <w:iCs w:val="1"/>
          <w:sz w:val="20"/>
          <w:szCs w:val="20"/>
          <w:rtl w:val="0"/>
          <w:lang w:val="en-US"/>
        </w:rPr>
        <w:t>Speech perception by ear and eye</w:t>
      </w:r>
      <w:r>
        <w:rPr>
          <w:rFonts w:ascii="Times New Roman" w:hAnsi="Times New Roman"/>
          <w:sz w:val="20"/>
          <w:szCs w:val="20"/>
          <w:rtl w:val="0"/>
        </w:rPr>
        <w:t>. Hillsdale, NJ: Lawrence Erlbaum.</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Maurice, K. (1983). The fluency workshop. </w:t>
      </w:r>
      <w:r>
        <w:rPr>
          <w:rFonts w:ascii="Times New Roman" w:hAnsi="Times New Roman"/>
          <w:i w:val="1"/>
          <w:iCs w:val="1"/>
          <w:sz w:val="20"/>
          <w:szCs w:val="20"/>
          <w:rtl w:val="0"/>
        </w:rPr>
        <w:t>TESOL Newsletter, 17</w:t>
      </w:r>
      <w:r>
        <w:rPr>
          <w:rFonts w:ascii="Times New Roman" w:hAnsi="Times New Roman"/>
          <w:sz w:val="20"/>
          <w:szCs w:val="20"/>
          <w:rtl w:val="0"/>
        </w:rPr>
        <w:t xml:space="preserve">, 429-436.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Menzel, R., &amp; Giurfa, M. (2001). Cognitive architecture of a mini-brain: the honeybee. </w:t>
      </w:r>
      <w:r>
        <w:rPr>
          <w:rFonts w:ascii="Times New Roman" w:hAnsi="Times New Roman"/>
          <w:i w:val="1"/>
          <w:iCs w:val="1"/>
          <w:sz w:val="20"/>
          <w:szCs w:val="20"/>
          <w:rtl w:val="0"/>
          <w:lang w:val="en-US"/>
        </w:rPr>
        <w:t>Trends in Cognitive Sciences, 5</w:t>
      </w:r>
      <w:r>
        <w:rPr>
          <w:rFonts w:ascii="Times New Roman" w:hAnsi="Times New Roman"/>
          <w:sz w:val="20"/>
          <w:szCs w:val="20"/>
          <w:rtl w:val="0"/>
        </w:rPr>
        <w:t xml:space="preserve">, 62-71.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Michaels, S., O"Connor, C., &amp; Resnick, L. (2008). Deliberative discourse idealized and realized: Accountable talk in the classroom and in civic life. </w:t>
      </w:r>
      <w:r>
        <w:rPr>
          <w:rFonts w:ascii="Times New Roman" w:hAnsi="Times New Roman"/>
          <w:i w:val="1"/>
          <w:iCs w:val="1"/>
          <w:sz w:val="20"/>
          <w:szCs w:val="20"/>
          <w:rtl w:val="0"/>
          <w:lang w:val="en-US"/>
        </w:rPr>
        <w:t>Studies in Philosophy and Education, 27</w:t>
      </w:r>
      <w:r>
        <w:rPr>
          <w:rFonts w:ascii="Times New Roman" w:hAnsi="Times New Roman"/>
          <w:sz w:val="20"/>
          <w:szCs w:val="20"/>
          <w:rtl w:val="0"/>
        </w:rPr>
        <w:t xml:space="preserve">, 283-297.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Mitchell, T. M., Shinkareva, S. V., Carlson, A., Chang, K.-M., Malave, V. L., Mason, R. A., &amp; Just, M. (2008). Predicting human brain activity associated with the meanings of nouns. </w:t>
      </w:r>
      <w:r>
        <w:rPr>
          <w:rFonts w:ascii="Times New Roman" w:hAnsi="Times New Roman"/>
          <w:i w:val="1"/>
          <w:iCs w:val="1"/>
          <w:sz w:val="20"/>
          <w:szCs w:val="20"/>
          <w:rtl w:val="0"/>
          <w:lang w:val="fr-FR"/>
        </w:rPr>
        <w:t>Science, 320</w:t>
      </w:r>
      <w:r>
        <w:rPr>
          <w:rFonts w:ascii="Times New Roman" w:hAnsi="Times New Roman"/>
          <w:sz w:val="20"/>
          <w:szCs w:val="20"/>
          <w:rtl w:val="0"/>
        </w:rPr>
        <w:t xml:space="preserve">, 1191-1195.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Monaghan, P., &amp; Christiansen, M. (2010). Words in puddles of sound: modelling psycholinguistic effects in speech segmentation. </w:t>
      </w:r>
      <w:r>
        <w:rPr>
          <w:rFonts w:ascii="Times New Roman" w:hAnsi="Times New Roman"/>
          <w:i w:val="1"/>
          <w:iCs w:val="1"/>
          <w:sz w:val="20"/>
          <w:szCs w:val="20"/>
          <w:rtl w:val="0"/>
          <w:lang w:val="en-US"/>
        </w:rPr>
        <w:t>Journal of Child Language, 37</w:t>
      </w:r>
      <w:r>
        <w:rPr>
          <w:rFonts w:ascii="Times New Roman" w:hAnsi="Times New Roman"/>
          <w:sz w:val="20"/>
          <w:szCs w:val="20"/>
          <w:rtl w:val="0"/>
        </w:rPr>
        <w:t xml:space="preserve">, 545-564.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Nation, P. (1989). Improving speaking fluency. </w:t>
      </w:r>
      <w:r>
        <w:rPr>
          <w:rFonts w:ascii="Times New Roman" w:hAnsi="Times New Roman"/>
          <w:i w:val="1"/>
          <w:iCs w:val="1"/>
          <w:sz w:val="20"/>
          <w:szCs w:val="20"/>
          <w:rtl w:val="0"/>
          <w:lang w:val="en-US"/>
        </w:rPr>
        <w:t>System, 17</w:t>
      </w:r>
      <w:r>
        <w:rPr>
          <w:rFonts w:ascii="Times New Roman" w:hAnsi="Times New Roman"/>
          <w:sz w:val="20"/>
          <w:szCs w:val="20"/>
          <w:rtl w:val="0"/>
        </w:rPr>
        <w:t xml:space="preserve">, 377-384.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Nicoladis, E., &amp; Genesee, F. (1998). Parental discourse and code-mixing in bilingual children. </w:t>
      </w:r>
      <w:r>
        <w:rPr>
          <w:rFonts w:ascii="Times New Roman" w:hAnsi="Times New Roman"/>
          <w:i w:val="1"/>
          <w:iCs w:val="1"/>
          <w:sz w:val="20"/>
          <w:szCs w:val="20"/>
          <w:rtl w:val="0"/>
          <w:lang w:val="en-US"/>
        </w:rPr>
        <w:t>International Journal of Bilingualism, 2</w:t>
      </w:r>
      <w:r>
        <w:rPr>
          <w:rFonts w:ascii="Times New Roman" w:hAnsi="Times New Roman"/>
          <w:sz w:val="20"/>
          <w:szCs w:val="20"/>
          <w:rtl w:val="0"/>
        </w:rPr>
        <w:t xml:space="preserve">, 85-99.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Ninio, A., &amp; Wheeler, P. (1984). Functions of speech in mother-interaction. In C. Garvey, R. Golinkoff &amp; L. Feagans (Eds.), </w:t>
      </w:r>
      <w:r>
        <w:rPr>
          <w:rFonts w:ascii="Times New Roman" w:hAnsi="Times New Roman"/>
          <w:i w:val="1"/>
          <w:iCs w:val="1"/>
          <w:sz w:val="20"/>
          <w:szCs w:val="20"/>
          <w:rtl w:val="0"/>
          <w:lang w:val="en-US"/>
        </w:rPr>
        <w:t>The Development of Communicative Competence</w:t>
      </w:r>
      <w:r>
        <w:rPr>
          <w:rFonts w:ascii="Times New Roman" w:hAnsi="Times New Roman"/>
          <w:sz w:val="20"/>
          <w:szCs w:val="20"/>
          <w:rtl w:val="0"/>
          <w:lang w:val="nl-NL"/>
        </w:rPr>
        <w:t>. Norwood, NJ: Ablex.</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Ochs, E. (1979). Transcription as theory. In E. Ochs &amp; B. Schieffelin (Eds.), </w:t>
      </w:r>
      <w:r>
        <w:rPr>
          <w:rFonts w:ascii="Times New Roman" w:hAnsi="Times New Roman"/>
          <w:i w:val="1"/>
          <w:iCs w:val="1"/>
          <w:sz w:val="20"/>
          <w:szCs w:val="20"/>
          <w:rtl w:val="0"/>
          <w:lang w:val="en-US"/>
        </w:rPr>
        <w:t>Developmental pragmatics</w:t>
      </w:r>
      <w:r>
        <w:rPr>
          <w:rFonts w:ascii="Times New Roman" w:hAnsi="Times New Roman"/>
          <w:sz w:val="20"/>
          <w:szCs w:val="20"/>
          <w:rtl w:val="0"/>
          <w:lang w:val="it-IT"/>
        </w:rPr>
        <w:t xml:space="preserve"> (pp. 43-72). New York: Academic.</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Osgood, C. E. (1971). Where Do Sentences Come From? In D. D. Steinberg &amp; L. A. Jakobovits (Eds.), </w:t>
      </w:r>
      <w:r>
        <w:rPr>
          <w:rFonts w:ascii="Times New Roman" w:hAnsi="Times New Roman"/>
          <w:i w:val="1"/>
          <w:iCs w:val="1"/>
          <w:sz w:val="20"/>
          <w:szCs w:val="20"/>
          <w:rtl w:val="0"/>
          <w:lang w:val="en-US"/>
        </w:rPr>
        <w:t>Semantics, and Interdisciplinary Reader in Philosophy, Linguistics, and Psychology</w:t>
      </w:r>
      <w:r>
        <w:rPr>
          <w:rFonts w:ascii="Times New Roman" w:hAnsi="Times New Roman"/>
          <w:sz w:val="20"/>
          <w:szCs w:val="20"/>
          <w:rtl w:val="0"/>
          <w:lang w:val="en-US"/>
        </w:rPr>
        <w:t>. Cambridge: University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Parisse, C., &amp; Le Normand, M. T. (2000). Automatic disambiguation of the morphosyntax in spoken language corpora. </w:t>
      </w:r>
      <w:r>
        <w:rPr>
          <w:rFonts w:ascii="Times New Roman" w:hAnsi="Times New Roman"/>
          <w:i w:val="1"/>
          <w:iCs w:val="1"/>
          <w:sz w:val="20"/>
          <w:szCs w:val="20"/>
          <w:rtl w:val="0"/>
          <w:lang w:val="en-US"/>
        </w:rPr>
        <w:t>Behavior Research Methods, Instruments, and Computers, 32</w:t>
      </w:r>
      <w:r>
        <w:rPr>
          <w:rFonts w:ascii="Times New Roman" w:hAnsi="Times New Roman"/>
          <w:sz w:val="20"/>
          <w:szCs w:val="20"/>
          <w:rtl w:val="0"/>
        </w:rPr>
        <w:t xml:space="preserve">, 468-481.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Pea, R. (2004). Video-as-data and digital video manipulation techniques for transforming learning sciences research, education and other cultural practices. In J. Weiss, J. Nolan &amp; P. Trifonas (Eds.), </w:t>
      </w:r>
      <w:r>
        <w:rPr>
          <w:rFonts w:ascii="Times New Roman" w:hAnsi="Times New Roman"/>
          <w:i w:val="1"/>
          <w:iCs w:val="1"/>
          <w:sz w:val="20"/>
          <w:szCs w:val="20"/>
          <w:rtl w:val="0"/>
          <w:lang w:val="en-US"/>
        </w:rPr>
        <w:t>International handbook of virtual learning environments</w:t>
      </w:r>
      <w:r>
        <w:rPr>
          <w:rFonts w:ascii="Times New Roman" w:hAnsi="Times New Roman"/>
          <w:sz w:val="20"/>
          <w:szCs w:val="20"/>
          <w:rtl w:val="0"/>
          <w:lang w:val="nl-NL"/>
        </w:rPr>
        <w:t>. Amsterdam: Kluwer Academic Publishing.</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Pennebaker, J. W., Francis, M. E., &amp; Booth, R. J. (2001). </w:t>
      </w:r>
      <w:r>
        <w:rPr>
          <w:rFonts w:ascii="Times New Roman" w:hAnsi="Times New Roman"/>
          <w:i w:val="1"/>
          <w:iCs w:val="1"/>
          <w:sz w:val="20"/>
          <w:szCs w:val="20"/>
          <w:rtl w:val="0"/>
          <w:lang w:val="en-US"/>
        </w:rPr>
        <w:t>Linguistic Inquiry and Word Count (LIWC): A computerized text analysis program</w:t>
      </w:r>
      <w:r>
        <w:rPr>
          <w:rFonts w:ascii="Times New Roman" w:hAnsi="Times New Roman"/>
          <w:sz w:val="20"/>
          <w:szCs w:val="20"/>
          <w:rtl w:val="0"/>
          <w:lang w:val="de-DE"/>
        </w:rPr>
        <w:t>. Mahwah, NJ: Lawrence Erlbaum Associates.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Perfors, A., Tenenbaum, J. B., &amp; Wonnacott, E. (2010). Variability, negative evidence, and the acquisition of verb argument constructions. </w:t>
      </w:r>
      <w:r>
        <w:rPr>
          <w:rFonts w:ascii="Times New Roman" w:hAnsi="Times New Roman"/>
          <w:i w:val="1"/>
          <w:iCs w:val="1"/>
          <w:sz w:val="20"/>
          <w:szCs w:val="20"/>
          <w:rtl w:val="0"/>
          <w:lang w:val="en-US"/>
        </w:rPr>
        <w:t>Journal of Child Language, 37</w:t>
      </w:r>
      <w:r>
        <w:rPr>
          <w:rFonts w:ascii="Times New Roman" w:hAnsi="Times New Roman"/>
          <w:sz w:val="20"/>
          <w:szCs w:val="20"/>
          <w:rtl w:val="0"/>
          <w:lang w:val="it-IT"/>
        </w:rPr>
        <w:t xml:space="preserve">, 607-642. </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Piaget, J. (1954). </w:t>
      </w:r>
      <w:r>
        <w:rPr>
          <w:rFonts w:ascii="Times New Roman" w:hAnsi="Times New Roman"/>
          <w:i w:val="1"/>
          <w:iCs w:val="1"/>
          <w:sz w:val="20"/>
          <w:szCs w:val="20"/>
          <w:rtl w:val="0"/>
          <w:lang w:val="en-US"/>
        </w:rPr>
        <w:t>The construction of reality in the child</w:t>
      </w:r>
      <w:r>
        <w:rPr>
          <w:rFonts w:ascii="Times New Roman" w:hAnsi="Times New Roman"/>
          <w:sz w:val="20"/>
          <w:szCs w:val="20"/>
          <w:rtl w:val="0"/>
          <w:lang w:val="en-US"/>
        </w:rPr>
        <w:t>. New York: Basic Books.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it-IT"/>
        </w:rPr>
        <w:t>Pienemann, M., Di Biase, B., Kawaguchi, S., &amp; H</w:t>
      </w:r>
      <w:r>
        <w:rPr>
          <w:rFonts w:ascii="Times New Roman" w:hAnsi="Times New Roman" w:hint="default"/>
          <w:sz w:val="20"/>
          <w:szCs w:val="20"/>
          <w:rtl w:val="0"/>
          <w:lang w:val="da-DK"/>
        </w:rPr>
        <w:t>å</w:t>
      </w:r>
      <w:r>
        <w:rPr>
          <w:rFonts w:ascii="Times New Roman" w:hAnsi="Times New Roman"/>
          <w:sz w:val="20"/>
          <w:szCs w:val="20"/>
          <w:rtl w:val="0"/>
          <w:lang w:val="nl-NL"/>
        </w:rPr>
        <w:t xml:space="preserve">kansson, G. (2005). Processing constraints on L1 transfer. In J. F. Kroll &amp; A. M. B. DeGroot (Eds.), </w:t>
      </w:r>
      <w:r>
        <w:rPr>
          <w:rFonts w:ascii="Times New Roman" w:hAnsi="Times New Roman"/>
          <w:i w:val="1"/>
          <w:iCs w:val="1"/>
          <w:sz w:val="20"/>
          <w:szCs w:val="20"/>
          <w:rtl w:val="0"/>
          <w:lang w:val="en-US"/>
        </w:rPr>
        <w:t>Handbook of bilingualism: Psycholinguistic approaches</w:t>
      </w:r>
      <w:r>
        <w:rPr>
          <w:rFonts w:ascii="Times New Roman" w:hAnsi="Times New Roman"/>
          <w:sz w:val="20"/>
          <w:szCs w:val="20"/>
          <w:rtl w:val="0"/>
          <w:lang w:val="en-US"/>
        </w:rPr>
        <w:t xml:space="preserve"> (pp. 128-153). New York: Oxford University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Presson, N., &amp; MacWhinney, B. (in press). The Competition Model and language disorders. In J. Guendozi (Ed.), </w:t>
      </w:r>
      <w:r>
        <w:rPr>
          <w:rFonts w:ascii="Times New Roman" w:hAnsi="Times New Roman"/>
          <w:i w:val="1"/>
          <w:iCs w:val="1"/>
          <w:sz w:val="20"/>
          <w:szCs w:val="20"/>
          <w:rtl w:val="0"/>
          <w:lang w:val="en-US"/>
        </w:rPr>
        <w:t>Handbook of language disorders</w:t>
      </w:r>
      <w:r>
        <w:rPr>
          <w:rFonts w:ascii="Times New Roman" w:hAnsi="Times New Roman"/>
          <w:sz w:val="20"/>
          <w:szCs w:val="20"/>
          <w:rtl w:val="0"/>
          <w:lang w:val="en-US"/>
        </w:rPr>
        <w:t>. New York: Routledge.</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Prior, A., &amp; MacWhinney, B. (in press). Beyond inhibition: A bilingual advantage in task switching. </w:t>
      </w:r>
      <w:r>
        <w:rPr>
          <w:rFonts w:ascii="Times New Roman" w:hAnsi="Times New Roman"/>
          <w:i w:val="1"/>
          <w:iCs w:val="1"/>
          <w:sz w:val="20"/>
          <w:szCs w:val="20"/>
          <w:rtl w:val="0"/>
          <w:lang w:val="it-IT"/>
        </w:rPr>
        <w:t>Bilingualism</w:t>
      </w:r>
      <w:r>
        <w:rPr>
          <w:rFonts w:ascii="Times New Roman" w:hAnsi="Times New Roman"/>
          <w:sz w:val="20"/>
          <w:szCs w:val="20"/>
          <w:rtl w:val="0"/>
        </w:rPr>
        <w:t xml:space="preserve">. </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Quinlan, P. T. (2003). </w:t>
      </w:r>
      <w:r>
        <w:rPr>
          <w:rFonts w:ascii="Times New Roman" w:hAnsi="Times New Roman"/>
          <w:i w:val="1"/>
          <w:iCs w:val="1"/>
          <w:sz w:val="20"/>
          <w:szCs w:val="20"/>
          <w:rtl w:val="0"/>
          <w:lang w:val="en-US"/>
        </w:rPr>
        <w:t>Connectionist models of development: Developmental processes in real and artificial neural networks</w:t>
      </w:r>
      <w:r>
        <w:rPr>
          <w:rFonts w:ascii="Times New Roman" w:hAnsi="Times New Roman"/>
          <w:sz w:val="20"/>
          <w:szCs w:val="20"/>
          <w:rtl w:val="0"/>
        </w:rPr>
        <w:t>. Hove, UK: Psychology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Regier, T. (2005). The emergence of words: Attentional learning in form and meaning. </w:t>
      </w:r>
      <w:r>
        <w:rPr>
          <w:rFonts w:ascii="Times New Roman" w:hAnsi="Times New Roman"/>
          <w:i w:val="1"/>
          <w:iCs w:val="1"/>
          <w:sz w:val="20"/>
          <w:szCs w:val="20"/>
          <w:rtl w:val="0"/>
          <w:lang w:val="en-US"/>
        </w:rPr>
        <w:t>Cognitive Science, 29</w:t>
      </w:r>
      <w:r>
        <w:rPr>
          <w:rFonts w:ascii="Times New Roman" w:hAnsi="Times New Roman"/>
          <w:sz w:val="20"/>
          <w:szCs w:val="20"/>
          <w:rtl w:val="0"/>
        </w:rPr>
        <w:t xml:space="preserve">, 819-865.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Rose, Y., &amp; MacWhinney, B. (in press). The Phon and PhonBank initiatives.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Rose, Y., MacWhinney, B., Byrne, R., Hedlund, G., Maddocks, K., O'Brien, P., &amp; Wareham, T. (in press). Introducing Phon: A Software Solution for the Study of Phonological Acquisition.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Sagae, K., Davis, E., Lavie, A., MacWhinney, B., &amp; Wintner, S. (2010). Morphosyntactic annotation of CHILDES transcripts. </w:t>
      </w:r>
      <w:r>
        <w:rPr>
          <w:rFonts w:ascii="Times New Roman" w:hAnsi="Times New Roman"/>
          <w:i w:val="1"/>
          <w:iCs w:val="1"/>
          <w:sz w:val="20"/>
          <w:szCs w:val="20"/>
          <w:rtl w:val="0"/>
          <w:lang w:val="en-US"/>
        </w:rPr>
        <w:t>Journal of Child Language, 37</w:t>
      </w:r>
      <w:r>
        <w:rPr>
          <w:rFonts w:ascii="Times New Roman" w:hAnsi="Times New Roman"/>
          <w:sz w:val="20"/>
          <w:szCs w:val="20"/>
          <w:rtl w:val="0"/>
        </w:rPr>
        <w:t xml:space="preserve">, 705-729.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Scarborough, H. S. (1990). Index of productive syntax. </w:t>
      </w:r>
      <w:r>
        <w:rPr>
          <w:rFonts w:ascii="Times New Roman" w:hAnsi="Times New Roman"/>
          <w:i w:val="1"/>
          <w:iCs w:val="1"/>
          <w:sz w:val="20"/>
          <w:szCs w:val="20"/>
          <w:rtl w:val="0"/>
          <w:lang w:val="en-US"/>
        </w:rPr>
        <w:t>Applied Psycholinguistics, 11</w:t>
      </w:r>
      <w:r>
        <w:rPr>
          <w:rFonts w:ascii="Times New Roman" w:hAnsi="Times New Roman"/>
          <w:sz w:val="20"/>
          <w:szCs w:val="20"/>
          <w:rtl w:val="0"/>
        </w:rPr>
        <w:t xml:space="preserve">, 1-22.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it-IT"/>
        </w:rPr>
        <w:t xml:space="preserve">Schegloff, E. (2007). </w:t>
      </w:r>
      <w:r>
        <w:rPr>
          <w:rFonts w:ascii="Times New Roman" w:hAnsi="Times New Roman"/>
          <w:i w:val="1"/>
          <w:iCs w:val="1"/>
          <w:sz w:val="20"/>
          <w:szCs w:val="20"/>
          <w:rtl w:val="0"/>
          <w:lang w:val="en-US"/>
        </w:rPr>
        <w:t>Sequence organization in interaction: A primer in conversation analysis</w:t>
      </w:r>
      <w:r>
        <w:rPr>
          <w:rFonts w:ascii="Times New Roman" w:hAnsi="Times New Roman"/>
          <w:sz w:val="20"/>
          <w:szCs w:val="20"/>
          <w:rtl w:val="0"/>
          <w:lang w:val="en-US"/>
        </w:rPr>
        <w:t>. New York: Cambridge University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Schober, M., &amp; Conrad, F. (2006). Does conversational interviewing reduce survey measurement error? </w:t>
      </w:r>
      <w:r>
        <w:rPr>
          <w:rFonts w:ascii="Times New Roman" w:hAnsi="Times New Roman"/>
          <w:i w:val="1"/>
          <w:iCs w:val="1"/>
          <w:sz w:val="20"/>
          <w:szCs w:val="20"/>
          <w:rtl w:val="0"/>
          <w:lang w:val="en-US"/>
        </w:rPr>
        <w:t>Public Opinion Quarterly, 61</w:t>
      </w:r>
      <w:r>
        <w:rPr>
          <w:rFonts w:ascii="Times New Roman" w:hAnsi="Times New Roman"/>
          <w:sz w:val="20"/>
          <w:szCs w:val="20"/>
          <w:rtl w:val="0"/>
        </w:rPr>
        <w:t xml:space="preserve">, 576-602.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Selinker, L., Swain, M., &amp; Dumas, G. (1975). The interlanguage hypothesis extended to children. </w:t>
      </w:r>
      <w:r>
        <w:rPr>
          <w:rFonts w:ascii="Times New Roman" w:hAnsi="Times New Roman"/>
          <w:i w:val="1"/>
          <w:iCs w:val="1"/>
          <w:sz w:val="20"/>
          <w:szCs w:val="20"/>
          <w:rtl w:val="0"/>
          <w:lang w:val="en-US"/>
        </w:rPr>
        <w:t>Language Learning, 25</w:t>
      </w:r>
      <w:r>
        <w:rPr>
          <w:rFonts w:ascii="Times New Roman" w:hAnsi="Times New Roman"/>
          <w:sz w:val="20"/>
          <w:szCs w:val="20"/>
          <w:rtl w:val="0"/>
        </w:rPr>
        <w:t xml:space="preserve">, 139-152.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Seyfarth, R., &amp; Cheney, D. (1999). Production, usage, and response in nonhuman primate vocal development. In M. Hauser &amp; M. Konishi (Eds.), </w:t>
      </w:r>
      <w:r>
        <w:rPr>
          <w:rFonts w:ascii="Times New Roman" w:hAnsi="Times New Roman"/>
          <w:i w:val="1"/>
          <w:iCs w:val="1"/>
          <w:sz w:val="20"/>
          <w:szCs w:val="20"/>
          <w:rtl w:val="0"/>
          <w:lang w:val="en-US"/>
        </w:rPr>
        <w:t>Neural mechanisms of communication</w:t>
      </w:r>
      <w:r>
        <w:rPr>
          <w:rFonts w:ascii="Times New Roman" w:hAnsi="Times New Roman"/>
          <w:sz w:val="20"/>
          <w:szCs w:val="20"/>
          <w:rtl w:val="0"/>
          <w:lang w:val="en-US"/>
        </w:rPr>
        <w:t xml:space="preserve"> (pp. 57-83). Cambridge, MA: MIT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Simons, G., &amp; Bird, S. (2008). </w:t>
      </w:r>
      <w:r>
        <w:rPr>
          <w:rFonts w:ascii="Times New Roman" w:hAnsi="Times New Roman"/>
          <w:i w:val="1"/>
          <w:iCs w:val="1"/>
          <w:sz w:val="20"/>
          <w:szCs w:val="20"/>
          <w:rtl w:val="0"/>
          <w:lang w:val="en-US"/>
        </w:rPr>
        <w:t>Toward a global infrastructure for the sustainability of language resources.</w:t>
      </w:r>
      <w:r>
        <w:rPr>
          <w:rFonts w:ascii="Times New Roman" w:hAnsi="Times New Roman"/>
          <w:sz w:val="20"/>
          <w:szCs w:val="20"/>
          <w:rtl w:val="0"/>
          <w:lang w:val="en-US"/>
        </w:rPr>
        <w:t xml:space="preserve"> Paper presented at the 22nd Pacific Asia Conference on Language, Information and Computation, Cebu City, Phillipines.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Smith, J., Durham, M., &amp; Fortune, L. (2007). "Mam, my trousers is fa'in doon!": Community, caregiver, and child in the acquisition of variation in a Scottish dialect. </w:t>
      </w:r>
      <w:r>
        <w:rPr>
          <w:rFonts w:ascii="Times New Roman" w:hAnsi="Times New Roman"/>
          <w:i w:val="1"/>
          <w:iCs w:val="1"/>
          <w:sz w:val="20"/>
          <w:szCs w:val="20"/>
          <w:rtl w:val="0"/>
          <w:lang w:val="en-US"/>
        </w:rPr>
        <w:t>Language Variation and Change, 19</w:t>
      </w:r>
      <w:r>
        <w:rPr>
          <w:rFonts w:ascii="Times New Roman" w:hAnsi="Times New Roman"/>
          <w:sz w:val="20"/>
          <w:szCs w:val="20"/>
          <w:rtl w:val="0"/>
        </w:rPr>
        <w:t xml:space="preserve">, 63-99.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Smith, L. B., &amp; Colunga, E. (2003). Making an ontology: Cross-lingusitic evidence. In D. H. Rakison &amp; L. Oakes (Eds.), </w:t>
      </w:r>
      <w:r>
        <w:rPr>
          <w:rFonts w:ascii="Times New Roman" w:hAnsi="Times New Roman"/>
          <w:i w:val="1"/>
          <w:iCs w:val="1"/>
          <w:sz w:val="20"/>
          <w:szCs w:val="20"/>
          <w:rtl w:val="0"/>
          <w:lang w:val="en-US"/>
        </w:rPr>
        <w:t>Early category and concept development: Making sense of the blooming, buzzing confusion</w:t>
      </w:r>
      <w:r>
        <w:rPr>
          <w:rFonts w:ascii="Times New Roman" w:hAnsi="Times New Roman"/>
          <w:sz w:val="20"/>
          <w:szCs w:val="20"/>
          <w:rtl w:val="0"/>
          <w:lang w:val="en-US"/>
        </w:rPr>
        <w:t xml:space="preserve"> (pp. 275-302). London: London University Press.</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Sokolov, J. L. (1993). A local contingency analysis of the fine-tuning hypothesis. </w:t>
      </w:r>
      <w:r>
        <w:rPr>
          <w:rFonts w:ascii="Times New Roman" w:hAnsi="Times New Roman"/>
          <w:i w:val="1"/>
          <w:iCs w:val="1"/>
          <w:sz w:val="20"/>
          <w:szCs w:val="20"/>
          <w:rtl w:val="0"/>
          <w:lang w:val="en-US"/>
        </w:rPr>
        <w:t>Developmental Psychology, 29</w:t>
      </w:r>
      <w:r>
        <w:rPr>
          <w:rFonts w:ascii="Times New Roman" w:hAnsi="Times New Roman"/>
          <w:sz w:val="20"/>
          <w:szCs w:val="20"/>
          <w:rtl w:val="0"/>
        </w:rPr>
        <w:t xml:space="preserve">, 1008-1023.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Steward, M., &amp; Steward, D. (2006). Children's conceptions of medical procedures. </w:t>
      </w:r>
      <w:r>
        <w:rPr>
          <w:rFonts w:ascii="Times New Roman" w:hAnsi="Times New Roman"/>
          <w:i w:val="1"/>
          <w:iCs w:val="1"/>
          <w:sz w:val="20"/>
          <w:szCs w:val="20"/>
          <w:rtl w:val="0"/>
          <w:lang w:val="en-US"/>
        </w:rPr>
        <w:t>New Directioins for Child and Adolescent Development, 1981</w:t>
      </w:r>
      <w:r>
        <w:rPr>
          <w:rFonts w:ascii="Times New Roman" w:hAnsi="Times New Roman"/>
          <w:sz w:val="20"/>
          <w:szCs w:val="20"/>
          <w:rtl w:val="0"/>
        </w:rPr>
        <w:t xml:space="preserve">, 67-83.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Thelen, E., &amp; Smith, L. (1994). </w:t>
      </w:r>
      <w:r>
        <w:rPr>
          <w:rFonts w:ascii="Times New Roman" w:hAnsi="Times New Roman"/>
          <w:i w:val="1"/>
          <w:iCs w:val="1"/>
          <w:sz w:val="20"/>
          <w:szCs w:val="20"/>
          <w:rtl w:val="0"/>
          <w:lang w:val="en-US"/>
        </w:rPr>
        <w:t>A dynamic systems approach to the development of cognition and action</w:t>
      </w:r>
      <w:r>
        <w:rPr>
          <w:rFonts w:ascii="Times New Roman" w:hAnsi="Times New Roman"/>
          <w:sz w:val="20"/>
          <w:szCs w:val="20"/>
          <w:rtl w:val="0"/>
          <w:lang w:val="en-US"/>
        </w:rPr>
        <w:t>. Cambridge, MA: MIT Press.</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Troll Covey, D. (2002). </w:t>
      </w:r>
      <w:r>
        <w:rPr>
          <w:rFonts w:ascii="Times New Roman" w:hAnsi="Times New Roman"/>
          <w:i w:val="1"/>
          <w:iCs w:val="1"/>
          <w:sz w:val="20"/>
          <w:szCs w:val="20"/>
          <w:rtl w:val="0"/>
          <w:lang w:val="en-US"/>
        </w:rPr>
        <w:t>Usage and usability assessment: Library practices and concerns</w:t>
      </w:r>
      <w:r>
        <w:rPr>
          <w:rFonts w:ascii="Times New Roman" w:hAnsi="Times New Roman"/>
          <w:sz w:val="20"/>
          <w:szCs w:val="20"/>
          <w:rtl w:val="0"/>
          <w:lang w:val="en-US"/>
        </w:rPr>
        <w:t>: Digital Library Federation.</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van Ahn, L., Kedia, M., &amp; Blum, M. (2006). </w:t>
      </w:r>
      <w:r>
        <w:rPr>
          <w:rFonts w:ascii="Times New Roman" w:hAnsi="Times New Roman"/>
          <w:i w:val="1"/>
          <w:iCs w:val="1"/>
          <w:sz w:val="20"/>
          <w:szCs w:val="20"/>
          <w:rtl w:val="0"/>
          <w:lang w:val="en-US"/>
        </w:rPr>
        <w:t>Verbosity: A game for collecting common-sense facts.</w:t>
      </w:r>
      <w:r>
        <w:rPr>
          <w:rFonts w:ascii="Times New Roman" w:hAnsi="Times New Roman"/>
          <w:sz w:val="20"/>
          <w:szCs w:val="20"/>
          <w:rtl w:val="0"/>
          <w:lang w:val="en-US"/>
        </w:rPr>
        <w:t xml:space="preserve"> Paper presented at the CHI 2006, Montr</w:t>
      </w:r>
      <w:r>
        <w:rPr>
          <w:rFonts w:ascii="Times New Roman" w:hAnsi="Times New Roman" w:hint="default"/>
          <w:sz w:val="20"/>
          <w:szCs w:val="20"/>
          <w:rtl w:val="0"/>
          <w:lang w:val="fr-FR"/>
        </w:rPr>
        <w:t>é</w:t>
      </w:r>
      <w:r>
        <w:rPr>
          <w:rFonts w:ascii="Times New Roman" w:hAnsi="Times New Roman"/>
          <w:sz w:val="20"/>
          <w:szCs w:val="20"/>
          <w:rtl w:val="0"/>
          <w:lang w:val="pt-PT"/>
        </w:rPr>
        <w:t>al.</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nl-NL"/>
        </w:rPr>
        <w:t xml:space="preserve">Vertegaal, R., Slagter, R., van der Veer, G., &amp; Nijholt, A. (2001). </w:t>
      </w:r>
      <w:r>
        <w:rPr>
          <w:rFonts w:ascii="Times New Roman" w:hAnsi="Times New Roman"/>
          <w:i w:val="1"/>
          <w:iCs w:val="1"/>
          <w:sz w:val="20"/>
          <w:szCs w:val="20"/>
          <w:rtl w:val="0"/>
          <w:lang w:val="en-US"/>
        </w:rPr>
        <w:t>Eye gaze patterns in conversations: there is more to conversational agents than meets the eyes.</w:t>
      </w:r>
      <w:r>
        <w:rPr>
          <w:rFonts w:ascii="Times New Roman" w:hAnsi="Times New Roman"/>
          <w:sz w:val="20"/>
          <w:szCs w:val="20"/>
          <w:rtl w:val="0"/>
          <w:lang w:val="en-US"/>
        </w:rPr>
        <w:t xml:space="preserve"> Paper presented at the Conference on Human Factors in Computing Systems.</w:t>
      </w:r>
    </w:p>
    <w:p>
      <w:pPr>
        <w:pStyle w:val="Bibliography"/>
        <w:rPr>
          <w:rFonts w:ascii="Times New Roman" w:cs="Times New Roman" w:hAnsi="Times New Roman" w:eastAsia="Times New Roman"/>
          <w:sz w:val="20"/>
          <w:szCs w:val="20"/>
        </w:rPr>
      </w:pPr>
      <w:r>
        <w:rPr>
          <w:rFonts w:ascii="Times New Roman" w:hAnsi="Times New Roman"/>
          <w:sz w:val="20"/>
          <w:szCs w:val="20"/>
          <w:rtl w:val="0"/>
        </w:rPr>
        <w:t xml:space="preserve">Waddington, C. H. (1957). </w:t>
      </w:r>
      <w:r>
        <w:rPr>
          <w:rFonts w:ascii="Times New Roman" w:hAnsi="Times New Roman"/>
          <w:i w:val="1"/>
          <w:iCs w:val="1"/>
          <w:sz w:val="20"/>
          <w:szCs w:val="20"/>
          <w:rtl w:val="0"/>
          <w:lang w:val="en-US"/>
        </w:rPr>
        <w:t>The strategy of the genes</w:t>
      </w:r>
      <w:r>
        <w:rPr>
          <w:rFonts w:ascii="Times New Roman" w:hAnsi="Times New Roman"/>
          <w:sz w:val="20"/>
          <w:szCs w:val="20"/>
          <w:rtl w:val="0"/>
        </w:rPr>
        <w:t>. New York: MacMillan.</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Waterfall, H., Sandbank, B., Onnis, L., &amp; Edelman, S. (2010). An empirical generative framework for computational modeling of language acquisition. </w:t>
      </w:r>
      <w:r>
        <w:rPr>
          <w:rFonts w:ascii="Times New Roman" w:hAnsi="Times New Roman"/>
          <w:i w:val="1"/>
          <w:iCs w:val="1"/>
          <w:sz w:val="20"/>
          <w:szCs w:val="20"/>
          <w:rtl w:val="0"/>
          <w:lang w:val="en-US"/>
        </w:rPr>
        <w:t>Journal of Child Language, 37</w:t>
      </w:r>
      <w:r>
        <w:rPr>
          <w:rFonts w:ascii="Times New Roman" w:hAnsi="Times New Roman"/>
          <w:sz w:val="20"/>
          <w:szCs w:val="20"/>
          <w:rtl w:val="0"/>
        </w:rPr>
        <w:t xml:space="preserve">, 671-703.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Wiebe, J. (1994). Tracking point of view in narrative. </w:t>
      </w:r>
      <w:r>
        <w:rPr>
          <w:rFonts w:ascii="Times New Roman" w:hAnsi="Times New Roman"/>
          <w:i w:val="1"/>
          <w:iCs w:val="1"/>
          <w:sz w:val="20"/>
          <w:szCs w:val="20"/>
          <w:rtl w:val="0"/>
          <w:lang w:val="en-US"/>
        </w:rPr>
        <w:t>Computational Linguistics, 20</w:t>
      </w:r>
      <w:r>
        <w:rPr>
          <w:rFonts w:ascii="Times New Roman" w:hAnsi="Times New Roman"/>
          <w:sz w:val="20"/>
          <w:szCs w:val="20"/>
          <w:rtl w:val="0"/>
        </w:rPr>
        <w:t xml:space="preserve">, 233-287.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Wiebe, J. (2000). Learning subjective adjectives from corpora. </w:t>
      </w:r>
      <w:r>
        <w:rPr>
          <w:rFonts w:ascii="Times New Roman" w:hAnsi="Times New Roman"/>
          <w:i w:val="1"/>
          <w:iCs w:val="1"/>
          <w:sz w:val="20"/>
          <w:szCs w:val="20"/>
          <w:rtl w:val="0"/>
          <w:lang w:val="en-US"/>
        </w:rPr>
        <w:t>AAAI Journal</w:t>
      </w:r>
      <w:r>
        <w:rPr>
          <w:rFonts w:ascii="Times New Roman" w:hAnsi="Times New Roman"/>
          <w:sz w:val="20"/>
          <w:szCs w:val="20"/>
          <w:rtl w:val="0"/>
        </w:rPr>
        <w:t xml:space="preserve">. </w:t>
      </w:r>
    </w:p>
    <w:p>
      <w:pPr>
        <w:pStyle w:val="Bibliography"/>
        <w:rPr>
          <w:rFonts w:ascii="Times New Roman" w:cs="Times New Roman" w:hAnsi="Times New Roman" w:eastAsia="Times New Roman"/>
          <w:sz w:val="20"/>
          <w:szCs w:val="20"/>
        </w:rPr>
      </w:pPr>
      <w:r>
        <w:rPr>
          <w:rFonts w:ascii="Times New Roman" w:hAnsi="Times New Roman"/>
          <w:sz w:val="20"/>
          <w:szCs w:val="20"/>
          <w:rtl w:val="0"/>
          <w:lang w:val="en-US"/>
        </w:rPr>
        <w:t xml:space="preserve">Yip, V., &amp; Matthews, S. (2000). Syntactic transfer in a Cantonese-English bilingual child. </w:t>
      </w:r>
      <w:r>
        <w:rPr>
          <w:rFonts w:ascii="Times New Roman" w:hAnsi="Times New Roman"/>
          <w:i w:val="1"/>
          <w:iCs w:val="1"/>
          <w:sz w:val="20"/>
          <w:szCs w:val="20"/>
          <w:rtl w:val="0"/>
          <w:lang w:val="en-US"/>
        </w:rPr>
        <w:t>Bilingualism: Language and Cognition, 3</w:t>
      </w:r>
      <w:r>
        <w:rPr>
          <w:rFonts w:ascii="Times New Roman" w:hAnsi="Times New Roman"/>
          <w:sz w:val="20"/>
          <w:szCs w:val="20"/>
          <w:rtl w:val="0"/>
        </w:rPr>
        <w:t xml:space="preserve">, 193-208. </w:t>
      </w:r>
      <w:r>
        <w:rPr>
          <w:rFonts w:ascii="Times New Roman" w:cs="Times New Roman" w:hAnsi="Times New Roman" w:eastAsia="Times New Roman"/>
          <w:sz w:val="20"/>
          <w:szCs w:val="20"/>
        </w:rPr>
        <w:fldChar w:fldCharType="end" w:fldLock="0"/>
      </w:r>
    </w:p>
    <w:sectPr>
      <w:headerReference w:type="default" r:id="rId11"/>
      <w:footerReference w:type="default" r:id="rId12"/>
      <w:pgSz w:w="11900" w:h="16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tabs>
          <w:tab w:val="num" w:pos="360"/>
        </w:tabs>
        <w:ind w:left="900" w:hanging="9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tabs>
          <w:tab w:val="num" w:pos="1152"/>
        </w:tabs>
        <w:ind w:left="1692" w:hanging="97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tabs>
          <w:tab w:val="num" w:pos="1440"/>
        </w:tabs>
        <w:ind w:left="1980" w:hanging="19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tabs>
          <w:tab w:val="num" w:pos="1440"/>
        </w:tabs>
        <w:ind w:left="1980" w:hanging="19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tabs>
          <w:tab w:val="num" w:pos="1440"/>
        </w:tabs>
        <w:ind w:left="1980" w:hanging="19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tabs>
          <w:tab w:val="num" w:pos="1440"/>
        </w:tabs>
        <w:ind w:left="1980" w:hanging="19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tabs>
          <w:tab w:val="num" w:pos="1440"/>
        </w:tabs>
        <w:ind w:left="1980" w:hanging="19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tabs>
          <w:tab w:val="num" w:pos="1440"/>
        </w:tabs>
        <w:ind w:left="1980" w:hanging="19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tabs>
          <w:tab w:val="num" w:pos="1440"/>
        </w:tabs>
        <w:ind w:left="1980" w:hanging="198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numStyleLink w:val="List 4"/>
  </w:abstractNum>
  <w:abstractNum w:abstractNumId="2">
    <w:multiLevelType w:val="hybridMultilevel"/>
    <w:styleLink w:val="List 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start w:val="1"/>
      <w:numFmt w:val="lowerRoman"/>
      <w:suff w:val="tab"/>
      <w:lvlText w:val="%3."/>
      <w:lvlJc w:val="left"/>
      <w:pPr>
        <w:ind w:left="21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start w:val="1"/>
      <w:numFmt w:val="lowerRoman"/>
      <w:suff w:val="tab"/>
      <w:lvlText w:val="%6."/>
      <w:lvlJc w:val="left"/>
      <w:pPr>
        <w:ind w:left="43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start w:val="1"/>
      <w:numFmt w:val="lowerRoman"/>
      <w:suff w:val="tab"/>
      <w:lvlText w:val="%9."/>
      <w:lvlJc w:val="left"/>
      <w:pPr>
        <w:ind w:left="64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3">
    <w:multiLevelType w:val="hybridMultilevel"/>
    <w:numStyleLink w:val="List 3"/>
  </w:abstractNum>
  <w:abstractNum w:abstractNumId="4">
    <w:multiLevelType w:val="hybridMultilevel"/>
    <w:styleLink w:val="List 3"/>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start w:val="1"/>
      <w:numFmt w:val="lowerLetter"/>
      <w:suff w:val="tab"/>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start w:val="1"/>
      <w:numFmt w:val="lowerRoman"/>
      <w:suff w:val="tab"/>
      <w:lvlText w:val="%3."/>
      <w:lvlJc w:val="left"/>
      <w:pPr>
        <w:tabs>
          <w:tab w:val="left" w:pos="360"/>
        </w:tabs>
        <w:ind w:left="180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tab"/>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start w:val="1"/>
      <w:numFmt w:val="lowerLetter"/>
      <w:suff w:val="tab"/>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start w:val="1"/>
      <w:numFmt w:val="lowerRoman"/>
      <w:suff w:val="tab"/>
      <w:lvlText w:val="%6."/>
      <w:lvlJc w:val="left"/>
      <w:pPr>
        <w:tabs>
          <w:tab w:val="left" w:pos="360"/>
        </w:tabs>
        <w:ind w:left="39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tab"/>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start w:val="1"/>
      <w:numFmt w:val="lowerLetter"/>
      <w:suff w:val="tab"/>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start w:val="1"/>
      <w:numFmt w:val="lowerRoman"/>
      <w:suff w:val="tab"/>
      <w:lvlText w:val="%9."/>
      <w:lvlJc w:val="left"/>
      <w:pPr>
        <w:tabs>
          <w:tab w:val="left" w:pos="360"/>
        </w:tabs>
        <w:ind w:left="61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5">
    <w:multiLevelType w:val="hybridMultilevel"/>
    <w:numStyleLink w:val="List 5"/>
  </w:abstractNum>
  <w:abstractNum w:abstractNumId="6">
    <w:multiLevelType w:val="hybridMultilevel"/>
    <w:styleLink w:val="List 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start w:val="1"/>
      <w:numFmt w:val="lowerRoman"/>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start w:val="1"/>
      <w:numFmt w:val="lowerRoman"/>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start w:val="1"/>
      <w:numFmt w:val="lowerRoman"/>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7">
    <w:multiLevelType w:val="hybridMultilevel"/>
    <w:numStyleLink w:val="List 8"/>
  </w:abstractNum>
  <w:abstractNum w:abstractNumId="8">
    <w:multiLevelType w:val="hybridMultilevel"/>
    <w:styleLink w:val="List 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start w:val="1"/>
      <w:numFmt w:val="lowerRoman"/>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start w:val="1"/>
      <w:numFmt w:val="lowerRoman"/>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start w:val="1"/>
      <w:numFmt w:val="lowerRoman"/>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9">
    <w:multiLevelType w:val="hybridMultilevel"/>
    <w:numStyleLink w:val="List 9"/>
  </w:abstractNum>
  <w:abstractNum w:abstractNumId="10">
    <w:multiLevelType w:val="hybridMultilevel"/>
    <w:styleLink w:val="List 9"/>
    <w:lvl w:ilvl="0">
      <w:start w:val="1"/>
      <w:numFmt w:val="decimal"/>
      <w:suff w:val="tab"/>
      <w:lvlText w:val="%1."/>
      <w:lvlJc w:val="left"/>
      <w:pPr>
        <w:ind w:left="720" w:hanging="360"/>
      </w:pPr>
      <w:rPr>
        <w:rFonts w:hAnsi="Arial Unicode MS"/>
        <w:caps w:val="0"/>
        <w:smallCaps w:val="0"/>
        <w:strike w:val="0"/>
        <w:dstrike w:val="0"/>
        <w:outline w:val="0"/>
        <w:emboss w:val="0"/>
        <w:imprint w:val="0"/>
        <w:color w:val="333333"/>
        <w:spacing w:val="0"/>
        <w:w w:val="100"/>
        <w:kern w:val="0"/>
        <w:position w:val="0"/>
        <w:sz w:val="24"/>
        <w:szCs w:val="24"/>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color w:val="333333"/>
        <w:spacing w:val="0"/>
        <w:w w:val="100"/>
        <w:kern w:val="0"/>
        <w:position w:val="0"/>
        <w:sz w:val="24"/>
        <w:szCs w:val="24"/>
        <w:highlight w:val="none"/>
        <w:vertAlign w:val="baseline"/>
      </w:rPr>
    </w:lvl>
    <w:lvl w:ilvl="2">
      <w:start w:val="1"/>
      <w:numFmt w:val="lowerRoman"/>
      <w:suff w:val="tab"/>
      <w:lvlText w:val="%3."/>
      <w:lvlJc w:val="left"/>
      <w:pPr>
        <w:tabs>
          <w:tab w:val="left" w:pos="720"/>
        </w:tabs>
        <w:ind w:left="2160" w:hanging="360"/>
      </w:pPr>
      <w:rPr>
        <w:rFonts w:hAnsi="Arial Unicode MS"/>
        <w:caps w:val="0"/>
        <w:smallCaps w:val="0"/>
        <w:strike w:val="0"/>
        <w:dstrike w:val="0"/>
        <w:outline w:val="0"/>
        <w:emboss w:val="0"/>
        <w:imprint w:val="0"/>
        <w:color w:val="333333"/>
        <w:spacing w:val="0"/>
        <w:w w:val="100"/>
        <w:kern w:val="0"/>
        <w:position w:val="0"/>
        <w:sz w:val="24"/>
        <w:szCs w:val="24"/>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color w:val="333333"/>
        <w:spacing w:val="0"/>
        <w:w w:val="100"/>
        <w:kern w:val="0"/>
        <w:position w:val="0"/>
        <w:sz w:val="24"/>
        <w:szCs w:val="24"/>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color w:val="333333"/>
        <w:spacing w:val="0"/>
        <w:w w:val="100"/>
        <w:kern w:val="0"/>
        <w:position w:val="0"/>
        <w:sz w:val="24"/>
        <w:szCs w:val="24"/>
        <w:highlight w:val="none"/>
        <w:vertAlign w:val="baseline"/>
      </w:rPr>
    </w:lvl>
    <w:lvl w:ilvl="5">
      <w:start w:val="1"/>
      <w:numFmt w:val="lowerRoman"/>
      <w:suff w:val="tab"/>
      <w:lvlText w:val="%6."/>
      <w:lvlJc w:val="left"/>
      <w:pPr>
        <w:tabs>
          <w:tab w:val="left" w:pos="720"/>
        </w:tabs>
        <w:ind w:left="4320" w:hanging="360"/>
      </w:pPr>
      <w:rPr>
        <w:rFonts w:hAnsi="Arial Unicode MS"/>
        <w:caps w:val="0"/>
        <w:smallCaps w:val="0"/>
        <w:strike w:val="0"/>
        <w:dstrike w:val="0"/>
        <w:outline w:val="0"/>
        <w:emboss w:val="0"/>
        <w:imprint w:val="0"/>
        <w:color w:val="333333"/>
        <w:spacing w:val="0"/>
        <w:w w:val="100"/>
        <w:kern w:val="0"/>
        <w:position w:val="0"/>
        <w:sz w:val="24"/>
        <w:szCs w:val="24"/>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color w:val="333333"/>
        <w:spacing w:val="0"/>
        <w:w w:val="100"/>
        <w:kern w:val="0"/>
        <w:position w:val="0"/>
        <w:sz w:val="24"/>
        <w:szCs w:val="24"/>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color w:val="333333"/>
        <w:spacing w:val="0"/>
        <w:w w:val="100"/>
        <w:kern w:val="0"/>
        <w:position w:val="0"/>
        <w:sz w:val="24"/>
        <w:szCs w:val="24"/>
        <w:highlight w:val="none"/>
        <w:vertAlign w:val="baseline"/>
      </w:rPr>
    </w:lvl>
    <w:lvl w:ilvl="8">
      <w:start w:val="1"/>
      <w:numFmt w:val="lowerRoman"/>
      <w:suff w:val="tab"/>
      <w:lvlText w:val="%9."/>
      <w:lvlJc w:val="left"/>
      <w:pPr>
        <w:tabs>
          <w:tab w:val="left" w:pos="720"/>
        </w:tabs>
        <w:ind w:left="6480" w:hanging="360"/>
      </w:pPr>
      <w:rPr>
        <w:rFonts w:hAnsi="Arial Unicode MS"/>
        <w:caps w:val="0"/>
        <w:smallCaps w:val="0"/>
        <w:strike w:val="0"/>
        <w:dstrike w:val="0"/>
        <w:outline w:val="0"/>
        <w:emboss w:val="0"/>
        <w:imprint w:val="0"/>
        <w:color w:val="333333"/>
        <w:spacing w:val="0"/>
        <w:w w:val="100"/>
        <w:kern w:val="0"/>
        <w:position w:val="0"/>
        <w:sz w:val="24"/>
        <w:szCs w:val="24"/>
        <w:highlight w:val="none"/>
        <w:vertAlign w:val="baseline"/>
      </w:rPr>
    </w:lvl>
  </w:abstractNum>
  <w:abstractNum w:abstractNumId="11">
    <w:multiLevelType w:val="hybridMultilevel"/>
    <w:numStyleLink w:val="List 10"/>
  </w:abstractNum>
  <w:abstractNum w:abstractNumId="12">
    <w:multiLevelType w:val="hybridMultilevel"/>
    <w:styleLink w:val="List 10"/>
    <w:lvl w:ilvl="0">
      <w:start w:val="1"/>
      <w:numFmt w:val="decimal"/>
      <w:suff w:val="tab"/>
      <w:lvlText w:val="%1."/>
      <w:lvlJc w:val="left"/>
      <w:pPr>
        <w:tabs>
          <w:tab w:val="num" w:pos="720"/>
        </w:tabs>
        <w:ind w:left="960" w:hanging="60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start w:val="1"/>
      <w:numFmt w:val="lowerLetter"/>
      <w:suff w:val="tab"/>
      <w:lvlText w:val="%2."/>
      <w:lvlJc w:val="left"/>
      <w:pPr>
        <w:tabs>
          <w:tab w:val="num" w:pos="1440"/>
        </w:tabs>
        <w:ind w:left="1680" w:hanging="60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start w:val="1"/>
      <w:numFmt w:val="lowerRoman"/>
      <w:suff w:val="tab"/>
      <w:lvlText w:val="%3."/>
      <w:lvlJc w:val="left"/>
      <w:pPr>
        <w:tabs>
          <w:tab w:val="num" w:pos="2160"/>
        </w:tabs>
        <w:ind w:left="2400" w:hanging="60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tab"/>
      <w:lvlText w:val="%4."/>
      <w:lvlJc w:val="left"/>
      <w:pPr>
        <w:tabs>
          <w:tab w:val="num" w:pos="2880"/>
        </w:tabs>
        <w:ind w:left="3120" w:hanging="60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start w:val="1"/>
      <w:numFmt w:val="lowerLetter"/>
      <w:suff w:val="tab"/>
      <w:lvlText w:val="%5."/>
      <w:lvlJc w:val="left"/>
      <w:pPr>
        <w:tabs>
          <w:tab w:val="num" w:pos="3600"/>
        </w:tabs>
        <w:ind w:left="3840" w:hanging="60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start w:val="1"/>
      <w:numFmt w:val="lowerRoman"/>
      <w:suff w:val="tab"/>
      <w:lvlText w:val="%6."/>
      <w:lvlJc w:val="left"/>
      <w:pPr>
        <w:tabs>
          <w:tab w:val="num" w:pos="4320"/>
        </w:tabs>
        <w:ind w:left="4560" w:hanging="60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tab"/>
      <w:lvlText w:val="%7."/>
      <w:lvlJc w:val="left"/>
      <w:pPr>
        <w:tabs>
          <w:tab w:val="num" w:pos="5040"/>
        </w:tabs>
        <w:ind w:left="5280" w:hanging="60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start w:val="1"/>
      <w:numFmt w:val="lowerLetter"/>
      <w:suff w:val="tab"/>
      <w:lvlText w:val="%8."/>
      <w:lvlJc w:val="left"/>
      <w:pPr>
        <w:tabs>
          <w:tab w:val="num" w:pos="5760"/>
        </w:tabs>
        <w:ind w:left="6000" w:hanging="60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start w:val="1"/>
      <w:numFmt w:val="lowerRoman"/>
      <w:suff w:val="tab"/>
      <w:lvlText w:val="%9."/>
      <w:lvlJc w:val="left"/>
      <w:pPr>
        <w:tabs>
          <w:tab w:val="num" w:pos="6480"/>
        </w:tabs>
        <w:ind w:left="6720" w:hanging="600"/>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num w:numId="1">
    <w:abstractNumId w:val="0"/>
  </w:num>
  <w:num w:numId="2">
    <w:abstractNumId w:val="2"/>
  </w:num>
  <w:num w:numId="3">
    <w:abstractNumId w:val="1"/>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4"/>
  </w:num>
  <w:num w:numId="8">
    <w:abstractNumId w:val="3"/>
  </w:num>
  <w:num w:numId="9">
    <w:abstractNumId w:val="6"/>
  </w:num>
  <w:num w:numId="10">
    <w:abstractNumId w:val="5"/>
  </w:num>
  <w:num w:numId="11">
    <w:abstractNumId w:val="8"/>
  </w:num>
  <w:num w:numId="12">
    <w:abstractNumId w:val="7"/>
  </w:num>
  <w:num w:numId="13">
    <w:abstractNumId w:val="10"/>
  </w:num>
  <w:num w:numId="14">
    <w:abstractNumId w:val="9"/>
  </w:num>
  <w:num w:numId="15">
    <w:abstractNumId w:val="9"/>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lowerRoman"/>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lowerRoman"/>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lowerRoman"/>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16">
    <w:abstractNumId w:val="12"/>
  </w:num>
  <w:num w:numId="17">
    <w:abstractNumId w:val="1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0"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NoIndent">
    <w:name w:val="NoIndent"/>
    <w:next w:val="NoIndent"/>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character" w:styleId="Default Paragraph Font.0">
    <w:name w:val="Default Paragraph Font.0"/>
    <w:rPr>
      <w:color w:val="000000"/>
      <w:sz w:val="20"/>
      <w:szCs w:val="20"/>
      <w:lang w:val="en-US"/>
    </w:rPr>
  </w:style>
  <w:style w:type="paragraph" w:styleId="Heading 1">
    <w:name w:val="Heading 1"/>
    <w:next w:val="Body"/>
    <w:pPr>
      <w:keepNext w:val="1"/>
      <w:keepLines w:val="0"/>
      <w:pageBreakBefore w:val="0"/>
      <w:widowControl w:val="1"/>
      <w:shd w:val="clear" w:color="auto" w:fill="auto"/>
      <w:suppressAutoHyphens w:val="0"/>
      <w:bidi w:val="0"/>
      <w:spacing w:before="180" w:after="160" w:line="240" w:lineRule="auto"/>
      <w:ind w:left="540" w:right="0" w:hanging="540"/>
      <w:jc w:val="left"/>
      <w:outlineLvl w:val="0"/>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0"/>
      <w:shd w:val="clear" w:color="auto" w:fill="auto"/>
      <w:suppressAutoHyphens w:val="0"/>
      <w:bidi w:val="0"/>
      <w:spacing w:before="0" w:after="0" w:line="240" w:lineRule="auto"/>
      <w:ind w:left="0" w:right="0" w:firstLine="36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Enumerate">
    <w:name w:val="Enumerate"/>
    <w:next w:val="Enumerate"/>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numbering" w:styleId="List 4">
    <w:name w:val="List 4"/>
    <w:pPr>
      <w:numPr>
        <w:numId w:val="2"/>
      </w:numPr>
    </w:pPr>
  </w:style>
  <w:style w:type="character" w:styleId="Link">
    <w:name w:val="Link"/>
    <w:rPr>
      <w:color w:val="000099"/>
      <w:u w:val="single"/>
    </w:rPr>
  </w:style>
  <w:style w:type="character" w:styleId="Hyperlink.0">
    <w:name w:val="Hyperlink.0"/>
    <w:basedOn w:val="Link"/>
    <w:next w:val="Hyperlink.0"/>
    <w:rPr>
      <w:color w:val="000000"/>
      <w:u w:val="none"/>
    </w:rPr>
  </w:style>
  <w:style w:type="paragraph" w:styleId="Heading 2">
    <w:name w:val="Heading 2"/>
    <w:next w:val="Body"/>
    <w:pPr>
      <w:keepNext w:val="1"/>
      <w:keepLines w:val="0"/>
      <w:pageBreakBefore w:val="0"/>
      <w:widowControl w:val="1"/>
      <w:shd w:val="clear" w:color="auto" w:fill="auto"/>
      <w:suppressAutoHyphens w:val="0"/>
      <w:bidi w:val="0"/>
      <w:spacing w:before="180" w:after="160" w:line="240" w:lineRule="auto"/>
      <w:ind w:left="540" w:right="0" w:hanging="540"/>
      <w:jc w:val="left"/>
      <w:outlineLvl w:val="1"/>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vertAlign w:val="baseline"/>
      <w:lang w:val="es-ES_tradnl"/>
    </w:rPr>
  </w:style>
  <w:style w:type="character" w:styleId="Hyperlink.1">
    <w:name w:val="Hyperlink.1"/>
    <w:basedOn w:val="Link"/>
    <w:next w:val="Hyperlink.1"/>
    <w:rPr>
      <w:color w:val="011ea9"/>
    </w:rPr>
  </w:style>
  <w:style w:type="numbering" w:styleId="List 3">
    <w:name w:val="List 3"/>
    <w:pPr>
      <w:numPr>
        <w:numId w:val="7"/>
      </w:numPr>
    </w:pPr>
  </w:style>
  <w:style w:type="numbering" w:styleId="List 5">
    <w:name w:val="List 5"/>
    <w:pPr>
      <w:numPr>
        <w:numId w:val="9"/>
      </w:numPr>
    </w:pPr>
  </w:style>
  <w:style w:type="numbering" w:styleId="List 8">
    <w:name w:val="List 8"/>
    <w:pPr>
      <w:numPr>
        <w:numId w:val="11"/>
      </w:numPr>
    </w:pPr>
  </w:style>
  <w:style w:type="numbering" w:styleId="List 9">
    <w:name w:val="List 9"/>
    <w:pPr>
      <w:numPr>
        <w:numId w:val="13"/>
      </w:numPr>
    </w:pPr>
  </w:style>
  <w:style w:type="numbering" w:styleId="List 10">
    <w:name w:val="List 10"/>
    <w:pPr>
      <w:numPr>
        <w:numId w:val="16"/>
      </w:numPr>
    </w:pPr>
  </w:style>
  <w:style w:type="paragraph" w:styleId="Bibliography">
    <w:name w:val="Bibliography"/>
    <w:next w:val="Bibliography"/>
    <w:pPr>
      <w:keepNext w:val="0"/>
      <w:keepLines w:val="0"/>
      <w:pageBreakBefore w:val="0"/>
      <w:widowControl w:val="1"/>
      <w:shd w:val="clear" w:color="auto" w:fill="auto"/>
      <w:suppressAutoHyphens w:val="0"/>
      <w:bidi w:val="0"/>
      <w:spacing w:before="0" w:after="0" w:line="240" w:lineRule="auto"/>
      <w:ind w:left="720" w:right="0" w:hanging="72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Cambria"/>
        <a:ea typeface="Cambria"/>
        <a:cs typeface="Cambri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