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000F" w14:textId="4E721510" w:rsidR="00554AAD" w:rsidRDefault="00F52B82" w:rsidP="00912280">
      <w:pPr>
        <w:suppressLineNumbers/>
      </w:pPr>
      <w:r>
        <w:t>Title:</w:t>
      </w:r>
      <w:r w:rsidR="00912280">
        <w:t xml:space="preserve"> </w:t>
      </w:r>
      <w:r w:rsidR="00554AAD">
        <w:t>Dynamic Norming and Open Science</w:t>
      </w:r>
    </w:p>
    <w:p w14:paraId="099EE0BB" w14:textId="2F201836" w:rsidR="00912280" w:rsidRDefault="00912280" w:rsidP="00912280">
      <w:pPr>
        <w:suppressLineNumbers/>
      </w:pPr>
    </w:p>
    <w:p w14:paraId="7D4DA4E2" w14:textId="77777777" w:rsidR="00912280" w:rsidRDefault="00912280" w:rsidP="00912280">
      <w:pPr>
        <w:suppressLineNumbers/>
      </w:pPr>
    </w:p>
    <w:p w14:paraId="2B731984" w14:textId="14552C59" w:rsidR="00742B63" w:rsidRDefault="00742B63" w:rsidP="00912280">
      <w:pPr>
        <w:suppressLineNumbers/>
      </w:pPr>
      <w:r>
        <w:t>Authors:</w:t>
      </w:r>
      <w:r w:rsidR="00912280">
        <w:t xml:space="preserve"> </w:t>
      </w:r>
      <w:r>
        <w:tab/>
        <w:t>Brian MacWhinney</w:t>
      </w:r>
    </w:p>
    <w:p w14:paraId="229302AA" w14:textId="370F126A" w:rsidR="00912280" w:rsidRDefault="00912280" w:rsidP="00912280">
      <w:pPr>
        <w:suppressLineNumbers/>
      </w:pPr>
      <w:r>
        <w:tab/>
      </w:r>
      <w:r>
        <w:tab/>
        <w:t>Department of Psychology</w:t>
      </w:r>
    </w:p>
    <w:p w14:paraId="584250D6" w14:textId="0AF14196" w:rsidR="00912280" w:rsidRDefault="00912280" w:rsidP="00912280">
      <w:pPr>
        <w:suppressLineNumbers/>
      </w:pPr>
      <w:r>
        <w:tab/>
      </w:r>
      <w:r>
        <w:tab/>
        <w:t>Carnegie Mellon University</w:t>
      </w:r>
    </w:p>
    <w:p w14:paraId="646DC173" w14:textId="09331990" w:rsidR="00912280" w:rsidRDefault="00912280" w:rsidP="00912280">
      <w:pPr>
        <w:suppressLineNumbers/>
      </w:pPr>
      <w:r>
        <w:tab/>
      </w:r>
      <w:r>
        <w:tab/>
        <w:t>Pittsburgh, PA 15213</w:t>
      </w:r>
    </w:p>
    <w:p w14:paraId="08685274" w14:textId="261E7ECE" w:rsidR="00912280" w:rsidRDefault="00912280" w:rsidP="00912280">
      <w:pPr>
        <w:suppressLineNumbers/>
      </w:pPr>
      <w:r>
        <w:tab/>
      </w:r>
      <w:r>
        <w:tab/>
        <w:t>macw@cmu.edu</w:t>
      </w:r>
    </w:p>
    <w:p w14:paraId="7AF36B1E" w14:textId="77777777" w:rsidR="00912280" w:rsidRDefault="00912280" w:rsidP="00912280">
      <w:pPr>
        <w:suppressLineNumbers/>
      </w:pPr>
    </w:p>
    <w:p w14:paraId="42219CE6" w14:textId="534D8529" w:rsidR="00742B63" w:rsidRDefault="00742B63" w:rsidP="00912280">
      <w:pPr>
        <w:suppressLineNumbers/>
      </w:pPr>
      <w:r>
        <w:tab/>
      </w:r>
      <w:r>
        <w:tab/>
        <w:t>Nan Bernstein-Ratner</w:t>
      </w:r>
    </w:p>
    <w:p w14:paraId="5FFA5B32" w14:textId="7F9C1773" w:rsidR="00912280" w:rsidRDefault="00912280" w:rsidP="00B10981">
      <w:pPr>
        <w:suppressLineNumbers/>
      </w:pPr>
      <w:r>
        <w:tab/>
      </w:r>
      <w:r>
        <w:tab/>
      </w:r>
      <w:r w:rsidR="00B10981">
        <w:t>Hearing and Speech Sciences</w:t>
      </w:r>
    </w:p>
    <w:p w14:paraId="7D28853D" w14:textId="16B0299E" w:rsidR="00B10981" w:rsidRDefault="00B10981" w:rsidP="00B10981">
      <w:pPr>
        <w:suppressLineNumbers/>
      </w:pPr>
      <w:r>
        <w:tab/>
      </w:r>
      <w:r>
        <w:tab/>
        <w:t>University of Maryland</w:t>
      </w:r>
    </w:p>
    <w:p w14:paraId="7F39542F" w14:textId="682A4905" w:rsidR="00B10981" w:rsidRDefault="00B10981" w:rsidP="00B10981">
      <w:pPr>
        <w:suppressLineNumbers/>
      </w:pPr>
      <w:r>
        <w:tab/>
      </w:r>
      <w:r>
        <w:tab/>
        <w:t>College Park, MD</w:t>
      </w:r>
    </w:p>
    <w:p w14:paraId="2DC5EEEE" w14:textId="2C4D6816" w:rsidR="00B10981" w:rsidRDefault="00B10981" w:rsidP="00B10981">
      <w:pPr>
        <w:suppressLineNumbers/>
      </w:pPr>
      <w:r>
        <w:tab/>
      </w:r>
      <w:r>
        <w:tab/>
        <w:t>nratner@umd.edu</w:t>
      </w:r>
    </w:p>
    <w:p w14:paraId="344290BD" w14:textId="78B76531" w:rsidR="00B10981" w:rsidRDefault="00B10981" w:rsidP="00912280">
      <w:pPr>
        <w:suppressLineNumbers/>
        <w:spacing w:line="480" w:lineRule="auto"/>
      </w:pPr>
      <w:r>
        <w:tab/>
      </w:r>
    </w:p>
    <w:p w14:paraId="0A3B7BF3" w14:textId="7350CD69" w:rsidR="00912280" w:rsidRDefault="00912280" w:rsidP="00912280">
      <w:pPr>
        <w:suppressLineNumbers/>
      </w:pPr>
      <w:r>
        <w:br w:type="page"/>
      </w:r>
    </w:p>
    <w:p w14:paraId="0888CECF" w14:textId="343D4A5C" w:rsidR="000B4AF5" w:rsidRDefault="00A77D2A" w:rsidP="00912280">
      <w:pPr>
        <w:spacing w:line="480" w:lineRule="auto"/>
      </w:pPr>
      <w:r>
        <w:lastRenderedPageBreak/>
        <w:t xml:space="preserve">Tucci et al. </w:t>
      </w:r>
      <w:r w:rsidR="00226A11">
        <w:t xml:space="preserve">(2021) </w:t>
      </w:r>
      <w:r w:rsidR="00992F98">
        <w:t>show</w:t>
      </w:r>
      <w:r>
        <w:t xml:space="preserve"> how calculation of the standard error of the mean (SEM) can allow clinicians to align language sample measures </w:t>
      </w:r>
      <w:r w:rsidR="00FD3FF2">
        <w:t xml:space="preserve">derived </w:t>
      </w:r>
      <w:r>
        <w:t xml:space="preserve">from a </w:t>
      </w:r>
      <w:r w:rsidR="00FA2E9D">
        <w:t>target</w:t>
      </w:r>
      <w:r>
        <w:t xml:space="preserve"> client with those from </w:t>
      </w:r>
      <w:r w:rsidR="00206CE6">
        <w:t>a</w:t>
      </w:r>
      <w:r w:rsidR="00FD3FF2">
        <w:t xml:space="preserve"> larger</w:t>
      </w:r>
      <w:r w:rsidR="00206CE6">
        <w:t xml:space="preserve"> age-matched comparison set. </w:t>
      </w:r>
      <w:r w:rsidR="00992F98">
        <w:t xml:space="preserve">We agree that </w:t>
      </w:r>
      <w:r w:rsidR="00EB4010">
        <w:t xml:space="preserve">ability to perform </w:t>
      </w:r>
      <w:r w:rsidR="00992F98">
        <w:t xml:space="preserve">dynamic </w:t>
      </w:r>
      <w:r w:rsidR="00EB4010">
        <w:t xml:space="preserve">score </w:t>
      </w:r>
      <w:r w:rsidR="00FD3FF2">
        <w:t>analysis</w:t>
      </w:r>
      <w:r w:rsidR="00992F98">
        <w:t xml:space="preserve"> provides an important component in the</w:t>
      </w:r>
      <w:r w:rsidR="00FA2E9D">
        <w:t xml:space="preserve"> clinician's</w:t>
      </w:r>
      <w:r w:rsidR="00992F98">
        <w:t xml:space="preserve"> arsenal of tools for assessment</w:t>
      </w:r>
      <w:r w:rsidR="00FA2E9D">
        <w:t xml:space="preserve"> of </w:t>
      </w:r>
      <w:r w:rsidR="00EB4010">
        <w:t xml:space="preserve">children’s </w:t>
      </w:r>
      <w:r w:rsidR="00FA2E9D">
        <w:t>language development</w:t>
      </w:r>
      <w:r w:rsidR="00206CE6">
        <w:t>.</w:t>
      </w:r>
      <w:r w:rsidR="00912280">
        <w:t xml:space="preserve"> </w:t>
      </w:r>
      <w:r w:rsidR="00992F98">
        <w:t xml:space="preserve">We also agree that </w:t>
      </w:r>
      <w:r w:rsidR="000B4AF5">
        <w:t xml:space="preserve">SEM values provide one good way of making these </w:t>
      </w:r>
      <w:r w:rsidR="00FA2E9D">
        <w:t>assessments</w:t>
      </w:r>
      <w:r w:rsidR="000B4AF5">
        <w:t xml:space="preserve">. Despite our agreement regarding the </w:t>
      </w:r>
      <w:r w:rsidR="00FA2E9D">
        <w:t>value</w:t>
      </w:r>
      <w:r w:rsidR="000B4AF5">
        <w:t xml:space="preserve"> of this approach, we are concerned about several aspects of </w:t>
      </w:r>
      <w:r w:rsidR="008C5EF7">
        <w:t>the</w:t>
      </w:r>
      <w:r w:rsidR="000B4AF5">
        <w:t xml:space="preserve"> report</w:t>
      </w:r>
      <w:r w:rsidR="008C5EF7">
        <w:t xml:space="preserve">, data, and analysis </w:t>
      </w:r>
      <w:r w:rsidR="000F68AD">
        <w:t>in</w:t>
      </w:r>
      <w:r w:rsidR="00EB4010">
        <w:t xml:space="preserve"> </w:t>
      </w:r>
      <w:r w:rsidR="008C5EF7">
        <w:t>Tucci et al.</w:t>
      </w:r>
    </w:p>
    <w:p w14:paraId="131790D4" w14:textId="77777777" w:rsidR="000B4AF5" w:rsidRDefault="000B4AF5" w:rsidP="00912280">
      <w:pPr>
        <w:spacing w:line="480" w:lineRule="auto"/>
      </w:pPr>
    </w:p>
    <w:p w14:paraId="372C1CCF" w14:textId="62DF3FB0" w:rsidR="00A77D2A" w:rsidRDefault="00C61774" w:rsidP="00912280">
      <w:pPr>
        <w:spacing w:line="480" w:lineRule="auto"/>
      </w:pPr>
      <w:r>
        <w:t>JSLHR has recently announced a call for papers on "promoting reproducibility for the speech, language, and hearing sciences</w:t>
      </w:r>
      <w:r w:rsidR="000F68AD">
        <w:t>.</w:t>
      </w:r>
      <w:r>
        <w:t>" However, this laudable effort is not commensurate with th</w:t>
      </w:r>
      <w:r w:rsidR="008C5EF7">
        <w:t>e</w:t>
      </w:r>
      <w:r>
        <w:t xml:space="preserve"> journal's </w:t>
      </w:r>
      <w:r w:rsidR="00FD3FF2">
        <w:t>recent</w:t>
      </w:r>
      <w:r w:rsidR="00EB4010">
        <w:t xml:space="preserve"> </w:t>
      </w:r>
      <w:r>
        <w:t>publication of a set of analyses</w:t>
      </w:r>
      <w:r w:rsidR="008C5EF7">
        <w:t xml:space="preserve"> by Tucci et al.</w:t>
      </w:r>
      <w:r>
        <w:t xml:space="preserve"> based on</w:t>
      </w:r>
      <w:r w:rsidR="00206CE6">
        <w:t xml:space="preserve"> </w:t>
      </w:r>
      <w:r>
        <w:t>a</w:t>
      </w:r>
      <w:r w:rsidR="00206CE6">
        <w:t xml:space="preserve"> </w:t>
      </w:r>
      <w:r w:rsidR="00EB4010">
        <w:t>privately</w:t>
      </w:r>
      <w:r w:rsidR="000F68AD">
        <w:t xml:space="preserve"> </w:t>
      </w:r>
      <w:r w:rsidR="00EB4010">
        <w:t xml:space="preserve">held </w:t>
      </w:r>
      <w:r w:rsidR="00206CE6">
        <w:t>data</w:t>
      </w:r>
      <w:r w:rsidR="000F68AD">
        <w:t>set</w:t>
      </w:r>
      <w:r w:rsidR="00206CE6">
        <w:t xml:space="preserve"> </w:t>
      </w:r>
      <w:r>
        <w:t xml:space="preserve">that </w:t>
      </w:r>
      <w:r w:rsidR="000F68AD">
        <w:t>is</w:t>
      </w:r>
      <w:r>
        <w:t xml:space="preserve"> tightly linked to a specific commercial product</w:t>
      </w:r>
      <w:r w:rsidR="00206CE6">
        <w:t xml:space="preserve">. </w:t>
      </w:r>
      <w:r w:rsidR="00265BDD">
        <w:t>Open Science practices such as the FAIR standards (Wilkinson et al, 201</w:t>
      </w:r>
      <w:r w:rsidR="00E1701C">
        <w:t>6</w:t>
      </w:r>
      <w:r w:rsidR="00265BDD">
        <w:t xml:space="preserve">) require that data be publicly available for further analysis and replication. </w:t>
      </w:r>
      <w:r w:rsidR="008C5EF7">
        <w:t>This means that</w:t>
      </w:r>
      <w:r>
        <w:t xml:space="preserve"> the software for conducting replicable analyses </w:t>
      </w:r>
      <w:r w:rsidR="008C5EF7">
        <w:t xml:space="preserve">must </w:t>
      </w:r>
      <w:r w:rsidR="00FD3FF2">
        <w:t xml:space="preserve">also </w:t>
      </w:r>
      <w:r>
        <w:t xml:space="preserve">be open source and freely available. </w:t>
      </w:r>
      <w:r w:rsidR="00AE28A2">
        <w:t>Unfortunately</w:t>
      </w:r>
      <w:r w:rsidR="00265BDD">
        <w:t>, the data on which Tucci et al</w:t>
      </w:r>
      <w:r w:rsidR="00FD3FF2">
        <w:t>.</w:t>
      </w:r>
      <w:r w:rsidR="00265BDD">
        <w:t xml:space="preserve"> base their analysis is not openly available.</w:t>
      </w:r>
      <w:r w:rsidR="00912280">
        <w:t xml:space="preserve"> </w:t>
      </w:r>
      <w:r w:rsidR="00265BDD">
        <w:t xml:space="preserve">Moreover, </w:t>
      </w:r>
      <w:r w:rsidR="00AE28A2">
        <w:t>to</w:t>
      </w:r>
      <w:r w:rsidR="00265BDD">
        <w:t xml:space="preserve"> </w:t>
      </w:r>
      <w:r w:rsidR="00AE28A2">
        <w:t>compare</w:t>
      </w:r>
      <w:r w:rsidR="00265BDD">
        <w:t xml:space="preserve"> a new transcript with th</w:t>
      </w:r>
      <w:r w:rsidR="00AE28A2">
        <w:t>is</w:t>
      </w:r>
      <w:r w:rsidR="00265BDD">
        <w:t xml:space="preserve"> unshared comparison database, one must purchase a proprietary piece of software</w:t>
      </w:r>
      <w:r w:rsidR="008C5EF7">
        <w:t xml:space="preserve"> </w:t>
      </w:r>
      <w:r w:rsidR="00FD3FF2">
        <w:t>that is not</w:t>
      </w:r>
      <w:r w:rsidR="008C5EF7">
        <w:t xml:space="preserve"> open source</w:t>
      </w:r>
      <w:r w:rsidR="00265BDD">
        <w:t>.</w:t>
      </w:r>
    </w:p>
    <w:p w14:paraId="1D8B1E20" w14:textId="7D0F77E8" w:rsidR="00265BDD" w:rsidRDefault="00265BDD" w:rsidP="00912280">
      <w:pPr>
        <w:spacing w:line="480" w:lineRule="auto"/>
      </w:pPr>
    </w:p>
    <w:p w14:paraId="217C7DCD" w14:textId="43FB72CB" w:rsidR="00CA5970" w:rsidRDefault="00FD3FF2" w:rsidP="00912280">
      <w:pPr>
        <w:spacing w:line="480" w:lineRule="auto"/>
      </w:pPr>
      <w:r>
        <w:t>Despite</w:t>
      </w:r>
      <w:r w:rsidR="00EB4010">
        <w:t xml:space="preserve"> statement</w:t>
      </w:r>
      <w:r w:rsidR="00226A11">
        <w:t>s</w:t>
      </w:r>
      <w:r w:rsidR="00EB4010">
        <w:t xml:space="preserve"> in Tucci et al. to the contrary, </w:t>
      </w:r>
      <w:r w:rsidR="00265BDD">
        <w:t xml:space="preserve">there is an alternative method for conducting dynamic norming that is in </w:t>
      </w:r>
      <w:r w:rsidR="005F257E">
        <w:t xml:space="preserve">full </w:t>
      </w:r>
      <w:r w:rsidR="00265BDD">
        <w:t xml:space="preserve">accord with Open Science standards. This </w:t>
      </w:r>
      <w:r w:rsidR="00AE28A2">
        <w:t xml:space="preserve">method uses the </w:t>
      </w:r>
      <w:r w:rsidR="008C5EF7">
        <w:t xml:space="preserve">open </w:t>
      </w:r>
      <w:r w:rsidR="00AE28A2">
        <w:t xml:space="preserve">data </w:t>
      </w:r>
      <w:r>
        <w:t xml:space="preserve">in the Child Language Data Exchange System (CHILDES) </w:t>
      </w:r>
      <w:r w:rsidR="00AE28A2">
        <w:t xml:space="preserve">and </w:t>
      </w:r>
      <w:r>
        <w:t xml:space="preserve">the </w:t>
      </w:r>
      <w:r w:rsidR="008C5EF7">
        <w:t xml:space="preserve">freely available open-source </w:t>
      </w:r>
      <w:r>
        <w:t xml:space="preserve">CLAN </w:t>
      </w:r>
      <w:r w:rsidR="00AE28A2">
        <w:t>programs developed in the context of the TalkBank project</w:t>
      </w:r>
      <w:r w:rsidR="00E1701C">
        <w:t xml:space="preserve"> (MacWhinney, </w:t>
      </w:r>
      <w:r w:rsidR="00E1701C">
        <w:lastRenderedPageBreak/>
        <w:t>2000,2</w:t>
      </w:r>
      <w:r w:rsidR="00226A11">
        <w:t>019)</w:t>
      </w:r>
      <w:r w:rsidR="00AE28A2">
        <w:t xml:space="preserve">. </w:t>
      </w:r>
      <w:r w:rsidR="00AA31BC">
        <w:t>In 201</w:t>
      </w:r>
      <w:r w:rsidR="007C54EF">
        <w:t>5</w:t>
      </w:r>
      <w:r w:rsidR="00AA31BC">
        <w:t xml:space="preserve">, TalkBank configured the CHILDES database to permit dynamic </w:t>
      </w:r>
      <w:r w:rsidR="00554AAD">
        <w:t xml:space="preserve">score </w:t>
      </w:r>
      <w:r w:rsidR="00AA31BC">
        <w:t xml:space="preserve">assessment of </w:t>
      </w:r>
      <w:r w:rsidR="005F257E">
        <w:t xml:space="preserve">a target </w:t>
      </w:r>
      <w:r w:rsidR="00AA31BC">
        <w:t>language sample through the KIDEVAL program</w:t>
      </w:r>
      <w:r w:rsidR="00EB4010">
        <w:t xml:space="preserve"> (Bernstein Ratner &amp; MacWhinney, 2016; Overton et al., 2021)</w:t>
      </w:r>
      <w:r w:rsidR="00AA31BC">
        <w:t xml:space="preserve">. </w:t>
      </w:r>
      <w:r w:rsidR="00DF1591">
        <w:t>Use of this program is documented</w:t>
      </w:r>
      <w:r w:rsidR="00AA31BC">
        <w:t xml:space="preserve"> in section 8.8 of the CLAN manual </w:t>
      </w:r>
      <w:r w:rsidR="00DF1591">
        <w:t xml:space="preserve">which is freely downloadable from </w:t>
      </w:r>
      <w:r w:rsidR="00AA31BC" w:rsidRPr="00AA31BC">
        <w:t>https://talkbank.org/manuals/CLAN.pdf</w:t>
      </w:r>
      <w:r w:rsidR="00DF1591">
        <w:t xml:space="preserve">. For English, the program allows users to compare a single </w:t>
      </w:r>
      <w:r w:rsidR="005F257E">
        <w:t xml:space="preserve">target </w:t>
      </w:r>
      <w:r w:rsidR="00DF1591">
        <w:t xml:space="preserve">transcript or a </w:t>
      </w:r>
      <w:r w:rsidR="006A2014">
        <w:t xml:space="preserve">collection of </w:t>
      </w:r>
      <w:r w:rsidR="005F257E">
        <w:t>targets</w:t>
      </w:r>
      <w:r w:rsidR="00DF1591">
        <w:t xml:space="preserve"> with over 2000 comparison files</w:t>
      </w:r>
      <w:r w:rsidR="005F257E">
        <w:t xml:space="preserve"> from the larger </w:t>
      </w:r>
      <w:r w:rsidR="008C5EF7">
        <w:t xml:space="preserve">English CHILDES </w:t>
      </w:r>
      <w:r w:rsidR="005F257E">
        <w:t>database</w:t>
      </w:r>
      <w:r w:rsidR="00DF1591">
        <w:t xml:space="preserve">. The comparison is based on </w:t>
      </w:r>
      <w:r w:rsidR="005F257E">
        <w:t xml:space="preserve">precompiled values for </w:t>
      </w:r>
      <w:r w:rsidR="007326E8">
        <w:t>transcripts</w:t>
      </w:r>
      <w:r w:rsidR="005F257E">
        <w:t xml:space="preserve"> in six-month groupings</w:t>
      </w:r>
      <w:r w:rsidR="006A2014">
        <w:t xml:space="preserve"> with far more than 35 samples in each</w:t>
      </w:r>
      <w:r w:rsidR="001C4248">
        <w:t xml:space="preserve"> of the </w:t>
      </w:r>
      <w:r w:rsidR="008C5EF7">
        <w:t>twelve</w:t>
      </w:r>
      <w:r w:rsidR="006A2014">
        <w:t xml:space="preserve"> 6-month group</w:t>
      </w:r>
      <w:r w:rsidR="001C4248">
        <w:t>s</w:t>
      </w:r>
      <w:r w:rsidR="00DF1591">
        <w:t>.</w:t>
      </w:r>
      <w:r w:rsidR="007C54EF">
        <w:t xml:space="preserve"> </w:t>
      </w:r>
      <w:r w:rsidR="007326E8">
        <w:t>The comparison</w:t>
      </w:r>
      <w:r w:rsidR="00DF1591">
        <w:t xml:space="preserve"> can be further filtered for </w:t>
      </w:r>
      <w:r w:rsidR="005B375B">
        <w:t xml:space="preserve">sample size in </w:t>
      </w:r>
      <w:r w:rsidR="00554AAD">
        <w:t xml:space="preserve">terms of </w:t>
      </w:r>
      <w:r w:rsidR="005B375B">
        <w:t xml:space="preserve">utterances, </w:t>
      </w:r>
      <w:r w:rsidR="007C54EF">
        <w:t>gender (male, female), activity type (</w:t>
      </w:r>
      <w:r w:rsidR="00DF1591">
        <w:t xml:space="preserve">narrative, </w:t>
      </w:r>
      <w:r w:rsidR="007326E8">
        <w:t>interview, freeplay</w:t>
      </w:r>
      <w:r w:rsidR="007C54EF">
        <w:t>), design (</w:t>
      </w:r>
      <w:r w:rsidR="007326E8">
        <w:t>cross-sectional</w:t>
      </w:r>
      <w:r w:rsidR="007C54EF">
        <w:t xml:space="preserve">, </w:t>
      </w:r>
      <w:r w:rsidR="007326E8">
        <w:t>longitudinal</w:t>
      </w:r>
      <w:r w:rsidR="007C54EF">
        <w:t xml:space="preserve">), </w:t>
      </w:r>
      <w:r w:rsidR="00CA5970">
        <w:t>clinical status (typically developing, atypical)</w:t>
      </w:r>
      <w:r w:rsidR="001C4248">
        <w:t xml:space="preserve">, and </w:t>
      </w:r>
      <w:r w:rsidR="008C5EF7">
        <w:t>comparison with</w:t>
      </w:r>
      <w:r w:rsidR="001C4248">
        <w:t xml:space="preserve"> an alternative age group</w:t>
      </w:r>
      <w:r w:rsidR="007326E8">
        <w:t>.</w:t>
      </w:r>
      <w:r w:rsidR="00912280">
        <w:t xml:space="preserve"> </w:t>
      </w:r>
      <w:r w:rsidR="007326E8">
        <w:t xml:space="preserve">Because CHILDES files include </w:t>
      </w:r>
      <w:r w:rsidR="008C5EF7">
        <w:t xml:space="preserve">automatically computed </w:t>
      </w:r>
      <w:r w:rsidR="007326E8">
        <w:t xml:space="preserve">morphosyntactic analyses, the program can </w:t>
      </w:r>
      <w:r w:rsidR="00554AAD">
        <w:t xml:space="preserve">also </w:t>
      </w:r>
      <w:r w:rsidR="007326E8">
        <w:t xml:space="preserve">automatically compute </w:t>
      </w:r>
      <w:r w:rsidR="005F257E">
        <w:t>all the</w:t>
      </w:r>
      <w:r w:rsidR="007326E8">
        <w:t xml:space="preserve"> MLU measures used by SALT, </w:t>
      </w:r>
      <w:r w:rsidR="005F257E">
        <w:t>along with</w:t>
      </w:r>
      <w:r w:rsidR="007326E8">
        <w:t xml:space="preserve"> the Developmental Sentence Score (DSS from Lee, 1974), the Index of Productive Syntax (IPSyn from Scarborough, 199</w:t>
      </w:r>
      <w:r w:rsidR="00E1701C">
        <w:t>0</w:t>
      </w:r>
      <w:r w:rsidR="007326E8">
        <w:t xml:space="preserve">), </w:t>
      </w:r>
      <w:r w:rsidR="005F257E">
        <w:t xml:space="preserve">values on the 14 grammatical morphemes studies by Brown (1973), and several measures of lexical diversity. In all, KIDEVAL produces outcomes on 41 variables that are </w:t>
      </w:r>
      <w:r w:rsidR="001C4248">
        <w:t>output</w:t>
      </w:r>
      <w:r w:rsidR="005F257E">
        <w:t xml:space="preserve"> </w:t>
      </w:r>
      <w:r w:rsidR="001C4248">
        <w:t>to</w:t>
      </w:r>
      <w:r w:rsidR="005F257E">
        <w:t xml:space="preserve"> a .csv file for </w:t>
      </w:r>
      <w:r w:rsidR="001C4248">
        <w:t xml:space="preserve">possible further </w:t>
      </w:r>
      <w:r w:rsidR="005F257E">
        <w:t>analysis by Excel</w:t>
      </w:r>
      <w:r w:rsidR="001C4248">
        <w:t xml:space="preserve"> </w:t>
      </w:r>
      <w:r w:rsidR="008C5EF7">
        <w:t xml:space="preserve">and </w:t>
      </w:r>
      <w:r w:rsidR="001C4248">
        <w:t>statistical programs</w:t>
      </w:r>
      <w:r w:rsidR="005F257E">
        <w:t xml:space="preserve">. For each </w:t>
      </w:r>
      <w:r w:rsidR="001C4248">
        <w:t>of these 41 variables</w:t>
      </w:r>
      <w:r w:rsidR="005F257E">
        <w:t xml:space="preserve">, KIDEVAL includes the standard deviation score </w:t>
      </w:r>
      <w:r w:rsidR="007C54EF">
        <w:t xml:space="preserve">with significance levels </w:t>
      </w:r>
      <w:r w:rsidR="005F257E">
        <w:t xml:space="preserve">for the target transcript in relation to the comparison group. </w:t>
      </w:r>
    </w:p>
    <w:p w14:paraId="7220C93A" w14:textId="77777777" w:rsidR="00CA5970" w:rsidRDefault="00CA5970" w:rsidP="00912280">
      <w:pPr>
        <w:spacing w:line="480" w:lineRule="auto"/>
      </w:pPr>
    </w:p>
    <w:p w14:paraId="3FA7B3A2" w14:textId="78B57364" w:rsidR="00CF3C76" w:rsidRDefault="00742B63" w:rsidP="00912280">
      <w:pPr>
        <w:spacing w:line="480" w:lineRule="auto"/>
      </w:pPr>
      <w:r>
        <w:t>From the viewpoint of clinical evaluation, there are limitations inherent in the</w:t>
      </w:r>
      <w:r w:rsidR="000F68AD">
        <w:t xml:space="preserve"> </w:t>
      </w:r>
      <w:r w:rsidR="00CF3C76">
        <w:t>measures</w:t>
      </w:r>
      <w:r w:rsidR="000F68AD">
        <w:t xml:space="preserve"> </w:t>
      </w:r>
      <w:r w:rsidR="00CF3C76">
        <w:t>tracked</w:t>
      </w:r>
      <w:r>
        <w:t xml:space="preserve"> in</w:t>
      </w:r>
      <w:r w:rsidR="000F68AD">
        <w:t xml:space="preserve"> </w:t>
      </w:r>
      <w:r w:rsidR="00EB4010">
        <w:t>Tucci et al</w:t>
      </w:r>
      <w:r w:rsidR="00226A11">
        <w:t>.</w:t>
      </w:r>
      <w:r w:rsidR="008C5EF7">
        <w:t xml:space="preserve">, as well as </w:t>
      </w:r>
      <w:r>
        <w:t xml:space="preserve">similar </w:t>
      </w:r>
      <w:r w:rsidR="00CF3C76">
        <w:t>measures</w:t>
      </w:r>
      <w:r>
        <w:t xml:space="preserve"> produced</w:t>
      </w:r>
      <w:r w:rsidR="008C5EF7">
        <w:t xml:space="preserve"> by </w:t>
      </w:r>
      <w:r w:rsidR="007D1A8A">
        <w:t>SUGAR</w:t>
      </w:r>
      <w:r w:rsidR="007D1A8A" w:rsidRPr="00971A7A">
        <w:t xml:space="preserve"> (Pavelko &amp; Owens, </w:t>
      </w:r>
      <w:r w:rsidR="007D1A8A" w:rsidRPr="00971A7A">
        <w:lastRenderedPageBreak/>
        <w:t>2018)</w:t>
      </w:r>
      <w:r w:rsidR="003F18FB">
        <w:t xml:space="preserve">. These </w:t>
      </w:r>
      <w:r w:rsidR="00CF3C76">
        <w:t xml:space="preserve">measures, such as length of utterance and words per minute, </w:t>
      </w:r>
      <w:r w:rsidR="007D1A8A" w:rsidRPr="00971A7A">
        <w:t>evaluate c</w:t>
      </w:r>
      <w:r w:rsidR="00190C6D">
        <w:t>hildren's</w:t>
      </w:r>
      <w:r w:rsidR="007D1A8A" w:rsidRPr="00971A7A">
        <w:t xml:space="preserve"> </w:t>
      </w:r>
      <w:r w:rsidR="003F18FB">
        <w:t>language</w:t>
      </w:r>
      <w:r w:rsidR="005B375B">
        <w:t xml:space="preserve"> primarily</w:t>
      </w:r>
      <w:r w:rsidR="007D1A8A" w:rsidRPr="00971A7A">
        <w:t xml:space="preserve"> </w:t>
      </w:r>
      <w:r w:rsidR="005B375B">
        <w:t xml:space="preserve">in terms of </w:t>
      </w:r>
      <w:r w:rsidR="00CF3C76">
        <w:t>quantity or volubility.</w:t>
      </w:r>
      <w:r w:rsidR="007D1A8A" w:rsidRPr="00971A7A">
        <w:t xml:space="preserve"> While potentially useful in identifying</w:t>
      </w:r>
      <w:r w:rsidR="00EB4010">
        <w:t xml:space="preserve"> or diagnosing</w:t>
      </w:r>
      <w:r w:rsidR="007D1A8A" w:rsidRPr="00971A7A">
        <w:t xml:space="preserve"> less talkative children who may have expressive language limitations, such measures are less than ideal in providing clinicians with concrete strategies </w:t>
      </w:r>
      <w:r w:rsidR="00554AAD">
        <w:t>for furthering</w:t>
      </w:r>
      <w:r w:rsidR="007D1A8A" w:rsidRPr="00971A7A">
        <w:t xml:space="preserve"> children's syntactic or grammatical growth</w:t>
      </w:r>
      <w:r w:rsidR="003F18FB">
        <w:t xml:space="preserve">. </w:t>
      </w:r>
      <w:r>
        <w:t>They provide clinicians with</w:t>
      </w:r>
      <w:r w:rsidRPr="00742B63">
        <w:t xml:space="preserve"> little </w:t>
      </w:r>
      <w:r>
        <w:t>guidance in</w:t>
      </w:r>
      <w:r w:rsidRPr="00742B63">
        <w:t xml:space="preserve"> construct</w:t>
      </w:r>
      <w:r>
        <w:t>ing</w:t>
      </w:r>
      <w:r w:rsidRPr="00742B63">
        <w:t xml:space="preserve"> language goals other than</w:t>
      </w:r>
      <w:r>
        <w:t xml:space="preserve"> to</w:t>
      </w:r>
      <w:r w:rsidRPr="00742B63">
        <w:t xml:space="preserve"> "say more" or "make utterances longer</w:t>
      </w:r>
      <w:r w:rsidR="00CF3C76">
        <w:t xml:space="preserve">." </w:t>
      </w:r>
      <w:r w:rsidR="003F18FB">
        <w:t xml:space="preserve">This point is made in articles by </w:t>
      </w:r>
      <w:r w:rsidR="007D1A8A" w:rsidRPr="00971A7A">
        <w:t>Guo et al.</w:t>
      </w:r>
      <w:r w:rsidR="003F18FB">
        <w:t xml:space="preserve"> (</w:t>
      </w:r>
      <w:r w:rsidR="007D1A8A" w:rsidRPr="00971A7A">
        <w:t>2018</w:t>
      </w:r>
      <w:r w:rsidR="003F18FB">
        <w:t xml:space="preserve">), </w:t>
      </w:r>
      <w:r w:rsidR="007D1A8A" w:rsidRPr="00971A7A">
        <w:t>Pezold, et al.</w:t>
      </w:r>
      <w:r w:rsidR="003F18FB">
        <w:t xml:space="preserve"> (</w:t>
      </w:r>
      <w:r w:rsidR="007D1A8A" w:rsidRPr="00971A7A">
        <w:t>2019</w:t>
      </w:r>
      <w:r w:rsidR="003F18FB">
        <w:t xml:space="preserve">), </w:t>
      </w:r>
      <w:r w:rsidR="007D1A8A" w:rsidRPr="00971A7A">
        <w:t>Finestack, et al.</w:t>
      </w:r>
      <w:r w:rsidR="003F18FB">
        <w:t xml:space="preserve"> (</w:t>
      </w:r>
      <w:r w:rsidR="007D1A8A" w:rsidRPr="00971A7A">
        <w:t>20</w:t>
      </w:r>
      <w:r w:rsidR="003F18FB">
        <w:t>20) and</w:t>
      </w:r>
      <w:r w:rsidR="00EB4010">
        <w:t xml:space="preserve"> Yang, et al.</w:t>
      </w:r>
      <w:r w:rsidR="003F18FB">
        <w:t xml:space="preserve"> (</w:t>
      </w:r>
      <w:r w:rsidR="00EB4010">
        <w:t>2021</w:t>
      </w:r>
      <w:r w:rsidR="003F18FB">
        <w:t>) all</w:t>
      </w:r>
      <w:r w:rsidR="00EB4010">
        <w:t xml:space="preserve"> of </w:t>
      </w:r>
      <w:r w:rsidR="003F18FB">
        <w:t xml:space="preserve">which use </w:t>
      </w:r>
      <w:r w:rsidR="00EB4010">
        <w:t xml:space="preserve">CLAN assessment </w:t>
      </w:r>
      <w:r w:rsidR="003F18FB">
        <w:t xml:space="preserve">and are published </w:t>
      </w:r>
      <w:r w:rsidR="00EB4010">
        <w:t>in ASHA journals</w:t>
      </w:r>
      <w:r w:rsidR="007D1A8A" w:rsidRPr="00971A7A">
        <w:t>.</w:t>
      </w:r>
      <w:r w:rsidR="00912280">
        <w:t xml:space="preserve"> </w:t>
      </w:r>
    </w:p>
    <w:p w14:paraId="4E4284FC" w14:textId="77777777" w:rsidR="00CF3C76" w:rsidRDefault="00CF3C76" w:rsidP="00912280">
      <w:pPr>
        <w:spacing w:line="480" w:lineRule="auto"/>
      </w:pPr>
    </w:p>
    <w:p w14:paraId="5577E7A8" w14:textId="08ACF4B9" w:rsidR="00265BDD" w:rsidRDefault="005D5365" w:rsidP="00912280">
      <w:pPr>
        <w:spacing w:line="480" w:lineRule="auto"/>
      </w:pPr>
      <w:r>
        <w:t>In contrast</w:t>
      </w:r>
      <w:r w:rsidR="003F18FB">
        <w:t xml:space="preserve"> to the </w:t>
      </w:r>
      <w:r w:rsidR="00CF3C76">
        <w:t>quantity measures</w:t>
      </w:r>
      <w:r w:rsidR="003F18FB">
        <w:t xml:space="preserve"> in SALT and SUGAR</w:t>
      </w:r>
      <w:r>
        <w:t xml:space="preserve">, assessment through KIDEVAL produces </w:t>
      </w:r>
      <w:r w:rsidR="005B375B">
        <w:t xml:space="preserve">a profile across 41 variables including details on lexicon, morphology, and syntax which can be further supplemented through automatic running of </w:t>
      </w:r>
      <w:r>
        <w:t>DSS-C, and C-IPSyn</w:t>
      </w:r>
      <w:r w:rsidR="00EB4010">
        <w:t xml:space="preserve"> (Yang, et al., 2021)</w:t>
      </w:r>
      <w:r w:rsidR="005B375B">
        <w:t xml:space="preserve">. These </w:t>
      </w:r>
      <w:r w:rsidR="003F18FB">
        <w:t xml:space="preserve">Open Science </w:t>
      </w:r>
      <w:r w:rsidR="005B375B">
        <w:t>tools</w:t>
      </w:r>
      <w:r>
        <w:t xml:space="preserve"> provide the clinician with information on the specific aspects of language along which the target child diverges significantly from comparison group norms</w:t>
      </w:r>
      <w:r w:rsidR="005B375B">
        <w:t>, rather than just measures of output quantity.</w:t>
      </w:r>
      <w:r w:rsidR="00B667F7">
        <w:t xml:space="preserve"> Moreover, language samples created with CLAN can easily be linked directly to the audio recording on the utterance level, permitting additional analysis for fluency</w:t>
      </w:r>
      <w:r w:rsidR="00554AAD">
        <w:t xml:space="preserve"> and interactional features</w:t>
      </w:r>
      <w:r w:rsidR="00CF3C76">
        <w:t>, and they can be</w:t>
      </w:r>
      <w:r w:rsidR="00831CCF">
        <w:t xml:space="preserve"> analyzed for phonological development and disorders by</w:t>
      </w:r>
      <w:r w:rsidR="00CF3C76">
        <w:t xml:space="preserve"> using</w:t>
      </w:r>
      <w:r w:rsidR="00831CCF">
        <w:t xml:space="preserve"> the</w:t>
      </w:r>
      <w:r w:rsidR="00B667F7">
        <w:t xml:space="preserve"> fully compatible </w:t>
      </w:r>
      <w:r w:rsidR="00831CCF">
        <w:t xml:space="preserve">and </w:t>
      </w:r>
      <w:r w:rsidR="00EB4010">
        <w:t xml:space="preserve">freely available </w:t>
      </w:r>
      <w:r w:rsidR="00B667F7">
        <w:t xml:space="preserve">Phon program (Rose &amp; </w:t>
      </w:r>
      <w:r w:rsidR="00EA34C0">
        <w:t>MacWhinney</w:t>
      </w:r>
      <w:r w:rsidR="00B667F7">
        <w:t>, 20</w:t>
      </w:r>
      <w:r w:rsidR="00EA34C0">
        <w:t>14</w:t>
      </w:r>
      <w:r w:rsidR="00B667F7">
        <w:t>).</w:t>
      </w:r>
    </w:p>
    <w:p w14:paraId="413E6923" w14:textId="77777777" w:rsidR="00A77D2A" w:rsidRDefault="00A77D2A" w:rsidP="00912280">
      <w:pPr>
        <w:spacing w:line="480" w:lineRule="auto"/>
      </w:pPr>
    </w:p>
    <w:p w14:paraId="338A3F50" w14:textId="264B5BFC" w:rsidR="00971A7A" w:rsidRDefault="007C54EF" w:rsidP="00912280">
      <w:pPr>
        <w:spacing w:line="480" w:lineRule="auto"/>
      </w:pPr>
      <w:r>
        <w:t>Given the fact that KIDEVAL has been openly available since 2015</w:t>
      </w:r>
      <w:r w:rsidR="00911EA5">
        <w:t xml:space="preserve"> </w:t>
      </w:r>
      <w:r w:rsidR="001C4248">
        <w:t>(</w:t>
      </w:r>
      <w:r w:rsidR="005B375B">
        <w:t xml:space="preserve">Bernstein-Ratner &amp; MacWhinney, 2016; </w:t>
      </w:r>
      <w:r w:rsidR="001C4248">
        <w:t>Garbarino et al., 2020</w:t>
      </w:r>
      <w:r w:rsidR="00B667F7">
        <w:t>),</w:t>
      </w:r>
      <w:r>
        <w:t xml:space="preserve"> </w:t>
      </w:r>
      <w:r w:rsidR="00B63CC4">
        <w:t>it is surprising to</w:t>
      </w:r>
      <w:r w:rsidR="00971A7A" w:rsidRPr="00971A7A">
        <w:t xml:space="preserve"> </w:t>
      </w:r>
      <w:r w:rsidR="00B63CC4">
        <w:t>find</w:t>
      </w:r>
      <w:r w:rsidR="00971A7A" w:rsidRPr="00971A7A">
        <w:t xml:space="preserve"> Tucci et al. describ</w:t>
      </w:r>
      <w:r w:rsidR="00190C6D">
        <w:t>ing</w:t>
      </w:r>
      <w:r w:rsidR="00971A7A" w:rsidRPr="00971A7A">
        <w:t xml:space="preserve"> SALT as </w:t>
      </w:r>
      <w:r w:rsidR="00971A7A" w:rsidRPr="00971A7A">
        <w:lastRenderedPageBreak/>
        <w:t xml:space="preserve">the first available utility to perform dynamic norming of children's expressive language skills. </w:t>
      </w:r>
      <w:r>
        <w:t>KIDEVAL</w:t>
      </w:r>
      <w:r w:rsidR="00971A7A" w:rsidRPr="00971A7A">
        <w:t xml:space="preserve"> has been </w:t>
      </w:r>
      <w:r w:rsidR="006A2014">
        <w:t>openly available</w:t>
      </w:r>
      <w:r w:rsidR="00971A7A" w:rsidRPr="00971A7A">
        <w:t xml:space="preserve"> to perform this function at no cost for the past </w:t>
      </w:r>
      <w:r>
        <w:t>six</w:t>
      </w:r>
      <w:r w:rsidR="00971A7A" w:rsidRPr="00971A7A">
        <w:t xml:space="preserve"> years, in contrast to </w:t>
      </w:r>
      <w:r>
        <w:t xml:space="preserve">this </w:t>
      </w:r>
      <w:r w:rsidR="006A2014">
        <w:t xml:space="preserve">very </w:t>
      </w:r>
      <w:r>
        <w:t xml:space="preserve">recent development </w:t>
      </w:r>
      <w:r w:rsidR="006A2014">
        <w:t xml:space="preserve">for dynamic </w:t>
      </w:r>
      <w:r w:rsidR="00EB4010">
        <w:t xml:space="preserve">score </w:t>
      </w:r>
      <w:r w:rsidR="006A2014">
        <w:t>assessment</w:t>
      </w:r>
      <w:r w:rsidR="00971A7A" w:rsidRPr="00971A7A">
        <w:t xml:space="preserve"> </w:t>
      </w:r>
      <w:r>
        <w:t>based on non-shared data linked to a commercial product</w:t>
      </w:r>
      <w:r w:rsidR="00971A7A" w:rsidRPr="00971A7A">
        <w:t xml:space="preserve">. </w:t>
      </w:r>
      <w:r w:rsidR="00B667F7">
        <w:t xml:space="preserve">Moreover, TalkBank </w:t>
      </w:r>
      <w:r w:rsidR="00EA34C0">
        <w:t xml:space="preserve">provides two other programs with structures </w:t>
      </w:r>
      <w:r w:rsidR="00911EA5">
        <w:t>like</w:t>
      </w:r>
      <w:r w:rsidR="00EA34C0">
        <w:t xml:space="preserve"> KIDEVAL</w:t>
      </w:r>
      <w:r w:rsidR="00831CCF">
        <w:t>, but targeted to other areas relevant to Speech and Language Science</w:t>
      </w:r>
      <w:r w:rsidR="00EA34C0">
        <w:t>.</w:t>
      </w:r>
      <w:r w:rsidR="00912280">
        <w:t xml:space="preserve"> </w:t>
      </w:r>
      <w:r w:rsidR="00EA34C0">
        <w:t>These are the EVAL program (Forbes et al, 2012) for analysis of language in aphasia and the FLUCALC program (Bernstein-Ratner &amp; MacWhinney, 2018) for analysis of developmental stuttering</w:t>
      </w:r>
      <w:r w:rsidR="00971A7A" w:rsidRPr="00971A7A">
        <w:t>. </w:t>
      </w:r>
    </w:p>
    <w:p w14:paraId="0E3261B2" w14:textId="3DDAAEE6" w:rsidR="00911EA5" w:rsidRDefault="00911EA5" w:rsidP="00912280">
      <w:pPr>
        <w:spacing w:line="480" w:lineRule="auto"/>
      </w:pPr>
    </w:p>
    <w:p w14:paraId="0974811A" w14:textId="108BEDBB" w:rsidR="00911EA5" w:rsidRPr="00971A7A" w:rsidRDefault="00911EA5" w:rsidP="00912280">
      <w:pPr>
        <w:spacing w:line="480" w:lineRule="auto"/>
      </w:pPr>
      <w:r>
        <w:t xml:space="preserve">It is important for the field to be able to evaluate and compare alternative methods for computer-assisted language sample analysis. However, it is </w:t>
      </w:r>
      <w:r w:rsidR="00831CCF">
        <w:t>equally</w:t>
      </w:r>
      <w:r>
        <w:t xml:space="preserve"> important that this process be accompanied by open access to data and full sharing of analysis tools and methods</w:t>
      </w:r>
      <w:r w:rsidR="00190C6D">
        <w:t xml:space="preserve">, and it is incumbent on our journals to begin to implement </w:t>
      </w:r>
      <w:r w:rsidR="00831CCF">
        <w:t>this policy</w:t>
      </w:r>
      <w:r w:rsidR="00190C6D">
        <w:t>.</w:t>
      </w:r>
    </w:p>
    <w:p w14:paraId="430E40E1" w14:textId="77777777" w:rsidR="00971A7A" w:rsidRDefault="00971A7A" w:rsidP="00912280">
      <w:pPr>
        <w:spacing w:line="480" w:lineRule="auto"/>
      </w:pPr>
    </w:p>
    <w:p w14:paraId="67785EEF" w14:textId="1921EEF6" w:rsidR="00B04823" w:rsidRPr="00FA2E9D" w:rsidRDefault="00FA2E9D" w:rsidP="00912280">
      <w:pPr>
        <w:spacing w:line="480" w:lineRule="auto"/>
        <w:rPr>
          <w:b/>
          <w:bCs/>
        </w:rPr>
      </w:pPr>
      <w:r w:rsidRPr="00FA2E9D">
        <w:rPr>
          <w:b/>
          <w:bCs/>
        </w:rPr>
        <w:t>References</w:t>
      </w:r>
    </w:p>
    <w:p w14:paraId="45D91F32" w14:textId="77777777" w:rsidR="00FA2E9D" w:rsidRDefault="00FA2E9D" w:rsidP="00912280">
      <w:pPr>
        <w:spacing w:line="480" w:lineRule="auto"/>
      </w:pPr>
    </w:p>
    <w:p w14:paraId="386477C8" w14:textId="77777777" w:rsidR="00B667F7" w:rsidRDefault="005B375B" w:rsidP="00912280">
      <w:pPr>
        <w:pStyle w:val="Bib"/>
        <w:spacing w:line="480" w:lineRule="auto"/>
      </w:pPr>
      <w:r>
        <w:t xml:space="preserve">Bernstein-Ratner, N., &amp; MacWhinney, B. (2016). Your laptop to the rescue: Using the Child Language Data Exchange System archive and CLAN utilities to improve child language sample analysis. </w:t>
      </w:r>
      <w:r>
        <w:rPr>
          <w:i/>
          <w:iCs/>
        </w:rPr>
        <w:t>Seminars in Speech and Language</w:t>
      </w:r>
      <w:r>
        <w:t>,</w:t>
      </w:r>
      <w:r>
        <w:rPr>
          <w:i/>
          <w:iCs/>
        </w:rPr>
        <w:t xml:space="preserve"> 37</w:t>
      </w:r>
      <w:r>
        <w:t>, 74-84. https://psyling.talkbank.org/years/2016/ssl/nan.pdf</w:t>
      </w:r>
    </w:p>
    <w:p w14:paraId="2F9D6F0D" w14:textId="1401735C" w:rsidR="005B375B" w:rsidRDefault="00B667F7" w:rsidP="00912280">
      <w:pPr>
        <w:pStyle w:val="Bib"/>
        <w:spacing w:line="480" w:lineRule="auto"/>
      </w:pPr>
      <w:r>
        <w:lastRenderedPageBreak/>
        <w:t xml:space="preserve">Bernstein-Ratner, N., &amp; MacWhinney, B. (2018). Fluency Bank: A new resource for fluency research and practice. </w:t>
      </w:r>
      <w:r>
        <w:rPr>
          <w:i/>
          <w:iCs/>
        </w:rPr>
        <w:t>Journal of Fluency Disorders</w:t>
      </w:r>
      <w:r>
        <w:t>,</w:t>
      </w:r>
      <w:r>
        <w:rPr>
          <w:i/>
          <w:iCs/>
        </w:rPr>
        <w:t xml:space="preserve"> 56</w:t>
      </w:r>
      <w:r>
        <w:t>, 69-80. https://doi.org/https://doi.org/10.1016/j.jfludis.2018.03.002</w:t>
      </w:r>
      <w:r w:rsidR="00912280">
        <w:t xml:space="preserve"> </w:t>
      </w:r>
    </w:p>
    <w:p w14:paraId="44B23ADC" w14:textId="1FA76472" w:rsidR="00E1701C" w:rsidRDefault="00E1701C" w:rsidP="00912280">
      <w:pPr>
        <w:pStyle w:val="Bib"/>
        <w:spacing w:line="480" w:lineRule="auto"/>
      </w:pPr>
      <w:r>
        <w:t xml:space="preserve">Brown, R. (1973). </w:t>
      </w:r>
      <w:r>
        <w:rPr>
          <w:i/>
          <w:iCs/>
        </w:rPr>
        <w:t>A first language: The early stages</w:t>
      </w:r>
      <w:r>
        <w:t xml:space="preserve">. Harvard. </w:t>
      </w:r>
    </w:p>
    <w:p w14:paraId="73C52222" w14:textId="6C6CA413" w:rsidR="00226A11" w:rsidRDefault="00226A11" w:rsidP="00912280">
      <w:pPr>
        <w:pStyle w:val="Bib"/>
        <w:spacing w:line="480" w:lineRule="auto"/>
      </w:pPr>
      <w:r w:rsidRPr="00226A11">
        <w:t xml:space="preserve">Finestack, L. H., Rohwer, B., Hilliard, L., &amp; Abbeduto, L. (2020). Using computerized language analysis to evaluate grammatical skills. </w:t>
      </w:r>
      <w:r w:rsidRPr="00226A11">
        <w:rPr>
          <w:i/>
          <w:iCs/>
        </w:rPr>
        <w:t>Language, Speech, and Hearing Services in Schools</w:t>
      </w:r>
      <w:r w:rsidRPr="00226A11">
        <w:t>,</w:t>
      </w:r>
      <w:r w:rsidRPr="00226A11">
        <w:rPr>
          <w:i/>
          <w:iCs/>
        </w:rPr>
        <w:t xml:space="preserve"> 51</w:t>
      </w:r>
      <w:r w:rsidRPr="00226A11">
        <w:t xml:space="preserve">(2), 184-204. </w:t>
      </w:r>
    </w:p>
    <w:p w14:paraId="7431838F" w14:textId="276F9992" w:rsidR="00EA34C0" w:rsidRDefault="00EA34C0" w:rsidP="00912280">
      <w:pPr>
        <w:pStyle w:val="Bib"/>
        <w:spacing w:line="480" w:lineRule="auto"/>
      </w:pPr>
      <w:r>
        <w:t xml:space="preserve">Forbes, M., Fromm, D., &amp; MacWhinney, B. (2012). AphasiaBank: a resource for clinicians. </w:t>
      </w:r>
      <w:r>
        <w:rPr>
          <w:i/>
          <w:iCs/>
        </w:rPr>
        <w:t>Seminars in Speech and Language</w:t>
      </w:r>
      <w:r>
        <w:t>,</w:t>
      </w:r>
      <w:r>
        <w:rPr>
          <w:i/>
          <w:iCs/>
        </w:rPr>
        <w:t xml:space="preserve"> 33</w:t>
      </w:r>
      <w:r>
        <w:t xml:space="preserve">(3), 217-222. https://doi.org/10.1055/s-0032-1320041 </w:t>
      </w:r>
    </w:p>
    <w:p w14:paraId="57ED6A37" w14:textId="77777777" w:rsidR="007D1A8A" w:rsidRDefault="001C4248" w:rsidP="00912280">
      <w:pPr>
        <w:pStyle w:val="Bib"/>
        <w:spacing w:line="480" w:lineRule="auto"/>
      </w:pPr>
      <w:r w:rsidRPr="00E1701C">
        <w:t xml:space="preserve">Garbarino, J., Bernstein Ratner, N., &amp; MacWhinney, B. (2020). Use of Computerized Language Analysis to Assess Child Language. </w:t>
      </w:r>
      <w:r w:rsidRPr="00E1701C">
        <w:rPr>
          <w:i/>
          <w:iCs/>
        </w:rPr>
        <w:t>Language, Speech, and Hearing Services in Schools</w:t>
      </w:r>
      <w:r w:rsidRPr="00E1701C">
        <w:t>,</w:t>
      </w:r>
      <w:r w:rsidRPr="00E1701C">
        <w:rPr>
          <w:i/>
          <w:iCs/>
        </w:rPr>
        <w:t xml:space="preserve"> 51</w:t>
      </w:r>
      <w:r w:rsidRPr="00E1701C">
        <w:t>(2), 504-506. https://doi.org/10.1044/2020_LSHSS-19-00118</w:t>
      </w:r>
    </w:p>
    <w:p w14:paraId="77BB3425" w14:textId="35E972FF" w:rsidR="007D1A8A" w:rsidRPr="007D1A8A" w:rsidRDefault="007D1A8A" w:rsidP="00912280">
      <w:pPr>
        <w:pStyle w:val="Bib"/>
        <w:spacing w:line="480" w:lineRule="auto"/>
      </w:pPr>
      <w:r>
        <w:t xml:space="preserve">Guo, L.-Y., Eisenberg, S., Bernstein Ratner, N., &amp; MacWhinney, B. (2018). Is putting SUGAR (Sampling Utterances of Grammatical Analysis Revised) into Language Sample Analysis a good thing? A response to Pavelko and Owens (2017). </w:t>
      </w:r>
      <w:r>
        <w:rPr>
          <w:i/>
          <w:iCs/>
        </w:rPr>
        <w:t>Language, Speech and Hearing Services in Schools</w:t>
      </w:r>
      <w:r>
        <w:t>,</w:t>
      </w:r>
      <w:r>
        <w:rPr>
          <w:i/>
          <w:iCs/>
        </w:rPr>
        <w:t xml:space="preserve"> 49</w:t>
      </w:r>
      <w:r>
        <w:t xml:space="preserve">(3), 622-627. https://doi.org/doi:10.1044/2018_LSHSS-17-0084 </w:t>
      </w:r>
    </w:p>
    <w:p w14:paraId="2833FC1D" w14:textId="75F7120C" w:rsidR="00E1701C" w:rsidRPr="00E1701C" w:rsidRDefault="00E1701C" w:rsidP="00912280">
      <w:pPr>
        <w:pStyle w:val="Bib"/>
        <w:spacing w:line="480" w:lineRule="auto"/>
      </w:pPr>
      <w:r>
        <w:t xml:space="preserve">Lee, L. (1974). </w:t>
      </w:r>
      <w:r>
        <w:rPr>
          <w:i/>
          <w:iCs/>
        </w:rPr>
        <w:t>Developmental Sentence Analysis</w:t>
      </w:r>
      <w:r>
        <w:t xml:space="preserve">. Northwestern University Press. </w:t>
      </w:r>
    </w:p>
    <w:p w14:paraId="6345CB87" w14:textId="16CEEFD9" w:rsidR="00E1701C" w:rsidRDefault="00E1701C" w:rsidP="00912280">
      <w:pPr>
        <w:pStyle w:val="Bib"/>
        <w:spacing w:line="480" w:lineRule="auto"/>
      </w:pPr>
      <w:r>
        <w:t xml:space="preserve">MacWhinney, B. (2000). </w:t>
      </w:r>
      <w:r>
        <w:rPr>
          <w:i/>
          <w:iCs/>
        </w:rPr>
        <w:t>The CHILDES project: Tools for analyzing talk. 3rd edition</w:t>
      </w:r>
      <w:r>
        <w:t xml:space="preserve">. Lawrence Erlbaum Associates. https://www.amazon.com </w:t>
      </w:r>
    </w:p>
    <w:p w14:paraId="1BD40BD6" w14:textId="7550C055" w:rsidR="00E1701C" w:rsidRDefault="00E1701C" w:rsidP="00912280">
      <w:pPr>
        <w:pStyle w:val="Bib"/>
        <w:spacing w:line="480" w:lineRule="auto"/>
      </w:pPr>
      <w:r>
        <w:t xml:space="preserve">MacWhinney, B. (2019). Understanding spoken language through TalkBank. </w:t>
      </w:r>
      <w:r>
        <w:rPr>
          <w:i/>
          <w:iCs/>
        </w:rPr>
        <w:t>Behavior Research Methods</w:t>
      </w:r>
      <w:r>
        <w:t>,</w:t>
      </w:r>
      <w:r>
        <w:rPr>
          <w:i/>
          <w:iCs/>
        </w:rPr>
        <w:t xml:space="preserve"> 51</w:t>
      </w:r>
      <w:r>
        <w:t xml:space="preserve">(4), 1919-1927. https://doi.org/doi: 10.3758/s13428-018-1174-9 </w:t>
      </w:r>
    </w:p>
    <w:p w14:paraId="35EF676E" w14:textId="35485E31" w:rsidR="007D1A8A" w:rsidRPr="00E1701C" w:rsidRDefault="007D1A8A" w:rsidP="00912280">
      <w:pPr>
        <w:pStyle w:val="Bib"/>
        <w:spacing w:line="480" w:lineRule="auto"/>
      </w:pPr>
      <w:r>
        <w:t xml:space="preserve">MacWhinney, B., Roberts, J. A., Altenberg, E. P., &amp; Hunter, M. (2020). Improving automatic IPSyn coding. </w:t>
      </w:r>
      <w:r>
        <w:rPr>
          <w:i/>
          <w:iCs/>
        </w:rPr>
        <w:t>Language, Speech, and Hearing Services in Schools</w:t>
      </w:r>
      <w:r>
        <w:t>,</w:t>
      </w:r>
      <w:r>
        <w:rPr>
          <w:i/>
          <w:iCs/>
        </w:rPr>
        <w:t xml:space="preserve"> 51</w:t>
      </w:r>
      <w:r>
        <w:t xml:space="preserve">(4), 1187-1189. </w:t>
      </w:r>
    </w:p>
    <w:p w14:paraId="7E69A671" w14:textId="227C4149" w:rsidR="00E1701C" w:rsidRDefault="00E1701C" w:rsidP="00912280">
      <w:pPr>
        <w:pStyle w:val="Bib"/>
        <w:spacing w:line="480" w:lineRule="auto"/>
      </w:pPr>
      <w:r>
        <w:lastRenderedPageBreak/>
        <w:t xml:space="preserve">Pavelko, S., &amp; Owens, R. (2017). Sampling utterances abd grammatical analysis revised (SUGAR): New normative values for language sample analsysi measures. </w:t>
      </w:r>
      <w:r>
        <w:rPr>
          <w:i/>
          <w:iCs/>
        </w:rPr>
        <w:t>Language, Speech, and Hearing Services in Schools</w:t>
      </w:r>
      <w:r>
        <w:t xml:space="preserve">, 197-215. </w:t>
      </w:r>
    </w:p>
    <w:p w14:paraId="34956A6C" w14:textId="72BA98C2" w:rsidR="005D5365" w:rsidRDefault="005D5365" w:rsidP="00912280">
      <w:pPr>
        <w:pStyle w:val="Bib"/>
        <w:spacing w:line="480" w:lineRule="auto"/>
      </w:pPr>
      <w:r>
        <w:t xml:space="preserve">Pezold, M. J., Imgrund, C. M., &amp; Storkel, H. L. (2019). Using Computer Programs for Language Sample Analysis. </w:t>
      </w:r>
      <w:r>
        <w:rPr>
          <w:i/>
          <w:iCs/>
        </w:rPr>
        <w:t>Language, Speech, and Hearing Services in Schools</w:t>
      </w:r>
      <w:r>
        <w:t>, 1-12.</w:t>
      </w:r>
    </w:p>
    <w:p w14:paraId="1FAC4349" w14:textId="77777777" w:rsidR="00B667F7" w:rsidRDefault="00B667F7" w:rsidP="00912280">
      <w:pPr>
        <w:pStyle w:val="Bib"/>
        <w:spacing w:line="480" w:lineRule="auto"/>
      </w:pPr>
      <w:r>
        <w:t xml:space="preserve">Rose, Y., &amp; MacWhinney, B. (2014). The PhonBank Project: Data and software-assisted methods for the study of phonology and phonological development. In J. Durand, U. Gut, &amp; G. Kristoffersen (Eds.), </w:t>
      </w:r>
      <w:r>
        <w:rPr>
          <w:i/>
          <w:iCs/>
        </w:rPr>
        <w:t>The Oxford handbook of corpus phonology</w:t>
      </w:r>
      <w:r>
        <w:t xml:space="preserve"> (pp. 380-401). Oxford University Press. https://doi.org/NIHMS761002 </w:t>
      </w:r>
    </w:p>
    <w:p w14:paraId="00BDFAB1" w14:textId="1365AF25" w:rsidR="00E1701C" w:rsidRDefault="00E1701C" w:rsidP="00912280">
      <w:pPr>
        <w:pStyle w:val="Bib"/>
        <w:spacing w:line="480" w:lineRule="auto"/>
      </w:pPr>
      <w:r>
        <w:t xml:space="preserve">Scarborough, H. (1990). Index of Productive Syntax. </w:t>
      </w:r>
      <w:r>
        <w:rPr>
          <w:i/>
          <w:iCs/>
        </w:rPr>
        <w:t>Applied Psycholinguistics</w:t>
      </w:r>
      <w:r>
        <w:t>,</w:t>
      </w:r>
      <w:r>
        <w:rPr>
          <w:i/>
          <w:iCs/>
        </w:rPr>
        <w:t xml:space="preserve"> 11</w:t>
      </w:r>
      <w:r>
        <w:t>(1), 1-22. https://doi.org/10.1017/S0142716400008262</w:t>
      </w:r>
    </w:p>
    <w:p w14:paraId="44458955" w14:textId="1B86F382" w:rsidR="000F68AD" w:rsidRDefault="000F68AD" w:rsidP="00912280">
      <w:pPr>
        <w:pStyle w:val="Bib"/>
        <w:spacing w:line="480" w:lineRule="auto"/>
      </w:pPr>
      <w:r w:rsidRPr="000F68AD">
        <w:t xml:space="preserve">Tucci, A., Plante, E., Heilmann, J. J., &amp; Miller, J. F. (2021). Dynamic Norming for Systematic Analysis of Language Transcripts. </w:t>
      </w:r>
      <w:r w:rsidRPr="000F68AD">
        <w:rPr>
          <w:i/>
          <w:iCs/>
        </w:rPr>
        <w:t>Journal of Speech, Language, and Hearing Research</w:t>
      </w:r>
      <w:r w:rsidRPr="000F68AD">
        <w:t xml:space="preserve">, 1-14. </w:t>
      </w:r>
    </w:p>
    <w:p w14:paraId="693DD705" w14:textId="39136122" w:rsidR="009C68B2" w:rsidRDefault="00E1701C" w:rsidP="00912280">
      <w:pPr>
        <w:pStyle w:val="Bib"/>
        <w:spacing w:line="480" w:lineRule="auto"/>
      </w:pPr>
      <w:r>
        <w:t xml:space="preserve">Wilkinson, M. D., Dumontier, M., Aalbersberg, I. J., Appleton, G., Axton, M., Baak, A., Blomberg, N., Boiten, J.-W., da Silva Santos, L. B., &amp; Bourne, P. E. (2016). The FAIR Guiding Principles for scientific data management and stewardship. </w:t>
      </w:r>
      <w:r>
        <w:rPr>
          <w:i/>
          <w:iCs/>
        </w:rPr>
        <w:t>Scientific data</w:t>
      </w:r>
      <w:r>
        <w:t>,</w:t>
      </w:r>
      <w:r>
        <w:rPr>
          <w:i/>
          <w:iCs/>
        </w:rPr>
        <w:t xml:space="preserve"> 3</w:t>
      </w:r>
      <w:r>
        <w:t xml:space="preserve">(1), 1-9. </w:t>
      </w:r>
    </w:p>
    <w:p w14:paraId="37823556" w14:textId="6E35206A" w:rsidR="00226A11" w:rsidRDefault="00226A11" w:rsidP="00912280">
      <w:pPr>
        <w:pStyle w:val="Bib"/>
        <w:spacing w:line="480" w:lineRule="auto"/>
      </w:pPr>
      <w:r w:rsidRPr="00226A11">
        <w:t xml:space="preserve">Yang, J. S., MacWhinney, B., &amp; Ratner, N. B. (2021). The Index of Productive Syntax: Psychometric Properties and Suggested Modifications. </w:t>
      </w:r>
      <w:r w:rsidRPr="00226A11">
        <w:rPr>
          <w:i/>
          <w:iCs/>
        </w:rPr>
        <w:t>American Journal of Speech-Language Pathology</w:t>
      </w:r>
      <w:r w:rsidRPr="00226A11">
        <w:t xml:space="preserve">, 1-18. </w:t>
      </w:r>
    </w:p>
    <w:sectPr w:rsidR="00226A11" w:rsidSect="00912280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tev2svzdfza6extd1vrdxgddwx2f0z2rtf&quot;&gt;Study&lt;record-ids&gt;&lt;item&gt;12261&lt;/item&gt;&lt;/record-ids&gt;&lt;/item&gt;&lt;/Libraries&gt;"/>
  </w:docVars>
  <w:rsids>
    <w:rsidRoot w:val="00B04823"/>
    <w:rsid w:val="00006F32"/>
    <w:rsid w:val="00021FB5"/>
    <w:rsid w:val="00022B52"/>
    <w:rsid w:val="00031567"/>
    <w:rsid w:val="00040F37"/>
    <w:rsid w:val="00050238"/>
    <w:rsid w:val="00053381"/>
    <w:rsid w:val="00072BF6"/>
    <w:rsid w:val="00080EE1"/>
    <w:rsid w:val="000B4AF5"/>
    <w:rsid w:val="000B771C"/>
    <w:rsid w:val="000D37C1"/>
    <w:rsid w:val="000F4662"/>
    <w:rsid w:val="000F68AD"/>
    <w:rsid w:val="00122B6E"/>
    <w:rsid w:val="00137774"/>
    <w:rsid w:val="00155FFD"/>
    <w:rsid w:val="00164B8D"/>
    <w:rsid w:val="00165852"/>
    <w:rsid w:val="001715F1"/>
    <w:rsid w:val="001851D9"/>
    <w:rsid w:val="00190C6D"/>
    <w:rsid w:val="00193481"/>
    <w:rsid w:val="001B1712"/>
    <w:rsid w:val="001B6BE3"/>
    <w:rsid w:val="001C4248"/>
    <w:rsid w:val="001E517F"/>
    <w:rsid w:val="002038C9"/>
    <w:rsid w:val="00206CE6"/>
    <w:rsid w:val="00206EC7"/>
    <w:rsid w:val="002133D7"/>
    <w:rsid w:val="00221579"/>
    <w:rsid w:val="00226A11"/>
    <w:rsid w:val="00236AC2"/>
    <w:rsid w:val="00250DC7"/>
    <w:rsid w:val="00265BDD"/>
    <w:rsid w:val="002662AB"/>
    <w:rsid w:val="00274ED9"/>
    <w:rsid w:val="0027601F"/>
    <w:rsid w:val="00303984"/>
    <w:rsid w:val="00312CA0"/>
    <w:rsid w:val="00321587"/>
    <w:rsid w:val="00322003"/>
    <w:rsid w:val="00332181"/>
    <w:rsid w:val="003376F8"/>
    <w:rsid w:val="00363B7D"/>
    <w:rsid w:val="00384A9D"/>
    <w:rsid w:val="0039306E"/>
    <w:rsid w:val="003A6CF5"/>
    <w:rsid w:val="003F18FB"/>
    <w:rsid w:val="003F3BBA"/>
    <w:rsid w:val="003F64B9"/>
    <w:rsid w:val="00410969"/>
    <w:rsid w:val="00462657"/>
    <w:rsid w:val="00470E3A"/>
    <w:rsid w:val="00473BFC"/>
    <w:rsid w:val="00475884"/>
    <w:rsid w:val="004A1663"/>
    <w:rsid w:val="004D332C"/>
    <w:rsid w:val="004E57C5"/>
    <w:rsid w:val="00501BDD"/>
    <w:rsid w:val="0053306A"/>
    <w:rsid w:val="00554AAD"/>
    <w:rsid w:val="00554D08"/>
    <w:rsid w:val="005767F6"/>
    <w:rsid w:val="00580903"/>
    <w:rsid w:val="00581365"/>
    <w:rsid w:val="0059112E"/>
    <w:rsid w:val="00594843"/>
    <w:rsid w:val="00596DB6"/>
    <w:rsid w:val="00597BD5"/>
    <w:rsid w:val="00597E76"/>
    <w:rsid w:val="005A2E53"/>
    <w:rsid w:val="005B375B"/>
    <w:rsid w:val="005D5365"/>
    <w:rsid w:val="005E248F"/>
    <w:rsid w:val="005E40EC"/>
    <w:rsid w:val="005E458E"/>
    <w:rsid w:val="005E6AF3"/>
    <w:rsid w:val="005F257E"/>
    <w:rsid w:val="006004CF"/>
    <w:rsid w:val="00630F8C"/>
    <w:rsid w:val="0063280E"/>
    <w:rsid w:val="00646354"/>
    <w:rsid w:val="00652697"/>
    <w:rsid w:val="00660280"/>
    <w:rsid w:val="006901A5"/>
    <w:rsid w:val="006A2014"/>
    <w:rsid w:val="006B0FE6"/>
    <w:rsid w:val="006F42A8"/>
    <w:rsid w:val="007326E8"/>
    <w:rsid w:val="00742B63"/>
    <w:rsid w:val="00765CDF"/>
    <w:rsid w:val="007907B2"/>
    <w:rsid w:val="00792071"/>
    <w:rsid w:val="007970C1"/>
    <w:rsid w:val="007A4D63"/>
    <w:rsid w:val="007C54EF"/>
    <w:rsid w:val="007D1A8A"/>
    <w:rsid w:val="007E7554"/>
    <w:rsid w:val="0081432A"/>
    <w:rsid w:val="008242B8"/>
    <w:rsid w:val="00831CCF"/>
    <w:rsid w:val="0089074D"/>
    <w:rsid w:val="008A096E"/>
    <w:rsid w:val="008B3D58"/>
    <w:rsid w:val="008C5EF7"/>
    <w:rsid w:val="008D350F"/>
    <w:rsid w:val="008E2075"/>
    <w:rsid w:val="00911EA5"/>
    <w:rsid w:val="00912280"/>
    <w:rsid w:val="00947726"/>
    <w:rsid w:val="00947A1E"/>
    <w:rsid w:val="00947E94"/>
    <w:rsid w:val="00950824"/>
    <w:rsid w:val="00951510"/>
    <w:rsid w:val="00964956"/>
    <w:rsid w:val="009714B5"/>
    <w:rsid w:val="00971A7A"/>
    <w:rsid w:val="00992F98"/>
    <w:rsid w:val="009A22C3"/>
    <w:rsid w:val="009B39DB"/>
    <w:rsid w:val="009C1C83"/>
    <w:rsid w:val="009C68B2"/>
    <w:rsid w:val="009E0432"/>
    <w:rsid w:val="009E0C5C"/>
    <w:rsid w:val="009E661F"/>
    <w:rsid w:val="00A304FE"/>
    <w:rsid w:val="00A45C03"/>
    <w:rsid w:val="00A46CE2"/>
    <w:rsid w:val="00A57315"/>
    <w:rsid w:val="00A77D2A"/>
    <w:rsid w:val="00A878E7"/>
    <w:rsid w:val="00A92969"/>
    <w:rsid w:val="00AA31BC"/>
    <w:rsid w:val="00AC005A"/>
    <w:rsid w:val="00AC183B"/>
    <w:rsid w:val="00AE28A2"/>
    <w:rsid w:val="00B04823"/>
    <w:rsid w:val="00B10981"/>
    <w:rsid w:val="00B46753"/>
    <w:rsid w:val="00B531C6"/>
    <w:rsid w:val="00B63CC4"/>
    <w:rsid w:val="00B656DC"/>
    <w:rsid w:val="00B667F7"/>
    <w:rsid w:val="00B72624"/>
    <w:rsid w:val="00B74F1C"/>
    <w:rsid w:val="00B91B40"/>
    <w:rsid w:val="00BD01E2"/>
    <w:rsid w:val="00BD73C0"/>
    <w:rsid w:val="00BE339D"/>
    <w:rsid w:val="00BF15BB"/>
    <w:rsid w:val="00C14E83"/>
    <w:rsid w:val="00C32757"/>
    <w:rsid w:val="00C35B39"/>
    <w:rsid w:val="00C45B49"/>
    <w:rsid w:val="00C47BD5"/>
    <w:rsid w:val="00C61774"/>
    <w:rsid w:val="00CA5970"/>
    <w:rsid w:val="00CB453C"/>
    <w:rsid w:val="00CB76FD"/>
    <w:rsid w:val="00CC307F"/>
    <w:rsid w:val="00CD4D89"/>
    <w:rsid w:val="00CE1D23"/>
    <w:rsid w:val="00CE6E11"/>
    <w:rsid w:val="00CF3C76"/>
    <w:rsid w:val="00CF5399"/>
    <w:rsid w:val="00D12B4B"/>
    <w:rsid w:val="00D20151"/>
    <w:rsid w:val="00D407B2"/>
    <w:rsid w:val="00D76462"/>
    <w:rsid w:val="00D87380"/>
    <w:rsid w:val="00DC1D2D"/>
    <w:rsid w:val="00DF1591"/>
    <w:rsid w:val="00DF1EB1"/>
    <w:rsid w:val="00DF3843"/>
    <w:rsid w:val="00E1701C"/>
    <w:rsid w:val="00E31F29"/>
    <w:rsid w:val="00E46412"/>
    <w:rsid w:val="00E75ECC"/>
    <w:rsid w:val="00EA34C0"/>
    <w:rsid w:val="00EB4010"/>
    <w:rsid w:val="00ED35A7"/>
    <w:rsid w:val="00EF0C3B"/>
    <w:rsid w:val="00EF3874"/>
    <w:rsid w:val="00F16F70"/>
    <w:rsid w:val="00F24D1E"/>
    <w:rsid w:val="00F2650D"/>
    <w:rsid w:val="00F307CE"/>
    <w:rsid w:val="00F3799D"/>
    <w:rsid w:val="00F52B82"/>
    <w:rsid w:val="00F86980"/>
    <w:rsid w:val="00FA2E9D"/>
    <w:rsid w:val="00FB22FF"/>
    <w:rsid w:val="00FD1E86"/>
    <w:rsid w:val="00FD313A"/>
    <w:rsid w:val="00FD3FF2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F1CF"/>
  <w15:chartTrackingRefBased/>
  <w15:docId w15:val="{B8E94011-D2EF-7348-A899-C2A5C62C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A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A7A"/>
    <w:rPr>
      <w:color w:val="605E5C"/>
      <w:shd w:val="clear" w:color="auto" w:fill="E1DFDD"/>
    </w:rPr>
  </w:style>
  <w:style w:type="paragraph" w:customStyle="1" w:styleId="Bib">
    <w:name w:val="Bib"/>
    <w:basedOn w:val="Normal"/>
    <w:qFormat/>
    <w:rsid w:val="00E1701C"/>
    <w:pPr>
      <w:autoSpaceDE w:val="0"/>
      <w:autoSpaceDN w:val="0"/>
      <w:adjustRightInd w:val="0"/>
      <w:ind w:left="720" w:right="-720" w:hanging="720"/>
    </w:pPr>
    <w:rPr>
      <w:rFonts w:cstheme="minorHAnsi"/>
    </w:rPr>
  </w:style>
  <w:style w:type="paragraph" w:customStyle="1" w:styleId="EndNoteBibliographyTitle">
    <w:name w:val="EndNote Bibliography Title"/>
    <w:basedOn w:val="Normal"/>
    <w:link w:val="EndNoteBibliographyTitleChar"/>
    <w:rsid w:val="00E1701C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701C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E1701C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1701C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B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6A11"/>
  </w:style>
  <w:style w:type="character" w:styleId="LineNumber">
    <w:name w:val="line number"/>
    <w:basedOn w:val="DefaultParagraphFont"/>
    <w:uiPriority w:val="99"/>
    <w:semiHidden/>
    <w:unhideWhenUsed/>
    <w:rsid w:val="0091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Macwhinney</dc:creator>
  <cp:keywords/>
  <dc:description/>
  <cp:lastModifiedBy>Brian Macwhinney</cp:lastModifiedBy>
  <cp:revision>8</cp:revision>
  <dcterms:created xsi:type="dcterms:W3CDTF">2022-01-11T00:46:00Z</dcterms:created>
  <dcterms:modified xsi:type="dcterms:W3CDTF">2022-01-11T22:38:00Z</dcterms:modified>
</cp:coreProperties>
</file>